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5C5" w:rsidRPr="00AD20CC" w:rsidRDefault="009D15C5" w:rsidP="009D15C5">
      <w:pPr>
        <w:tabs>
          <w:tab w:val="center" w:pos="4536"/>
          <w:tab w:val="right" w:pos="8280"/>
        </w:tabs>
        <w:ind w:left="1440" w:hanging="1440"/>
        <w:rPr>
          <w:rFonts w:ascii="Arial" w:hAnsi="Arial" w:cs="Arial"/>
          <w:b/>
          <w:bCs/>
          <w:sz w:val="24"/>
        </w:rPr>
      </w:pPr>
      <w:r w:rsidRPr="00AD20CC">
        <w:rPr>
          <w:rFonts w:ascii="Arial" w:hAnsi="Arial" w:cs="Arial"/>
          <w:b/>
          <w:bCs/>
          <w:sz w:val="24"/>
        </w:rPr>
        <w:t>3GPP TSG RAN WG1 Meeting #94</w:t>
      </w:r>
      <w:r w:rsidRPr="00AD20CC">
        <w:rPr>
          <w:rFonts w:ascii="Arial" w:hAnsi="Arial" w:cs="Arial"/>
          <w:b/>
          <w:bCs/>
          <w:sz w:val="24"/>
        </w:rPr>
        <w:tab/>
        <w:t xml:space="preserve">                                                </w:t>
      </w:r>
      <w:r w:rsidRPr="00AD20CC">
        <w:rPr>
          <w:rFonts w:ascii="Arial" w:hAnsi="Arial" w:cs="Arial"/>
          <w:b/>
          <w:bCs/>
          <w:sz w:val="24"/>
        </w:rPr>
        <w:tab/>
        <w:t xml:space="preserve">       </w:t>
      </w:r>
      <w:r>
        <w:rPr>
          <w:rFonts w:ascii="Arial" w:hAnsi="Arial" w:cs="Arial"/>
          <w:b/>
          <w:bCs/>
          <w:sz w:val="24"/>
        </w:rPr>
        <w:t xml:space="preserve">     </w:t>
      </w:r>
      <w:r w:rsidRPr="00E74DF4">
        <w:rPr>
          <w:rFonts w:ascii="Arial" w:hAnsi="Arial" w:cs="Arial"/>
          <w:b/>
          <w:bCs/>
          <w:sz w:val="24"/>
        </w:rPr>
        <w:t>R1-1808712</w:t>
      </w:r>
    </w:p>
    <w:p w:rsidR="009D15C5" w:rsidRPr="00AD20CC" w:rsidRDefault="009D15C5" w:rsidP="009D15C5">
      <w:pPr>
        <w:rPr>
          <w:rFonts w:ascii="Arial" w:hAnsi="Arial" w:cs="Arial"/>
          <w:b/>
          <w:sz w:val="24"/>
        </w:rPr>
      </w:pPr>
      <w:r w:rsidRPr="00AD20CC">
        <w:rPr>
          <w:rFonts w:ascii="Arial" w:hAnsi="Arial" w:cs="Arial"/>
          <w:b/>
          <w:sz w:val="24"/>
        </w:rPr>
        <w:t>Gothenburg, Sweden, August 20</w:t>
      </w:r>
      <w:r w:rsidRPr="00AD20CC">
        <w:rPr>
          <w:rFonts w:ascii="Arial" w:hAnsi="Arial" w:cs="Arial"/>
          <w:b/>
          <w:sz w:val="24"/>
          <w:vertAlign w:val="superscript"/>
        </w:rPr>
        <w:t>th</w:t>
      </w:r>
      <w:r w:rsidRPr="00AD20CC">
        <w:rPr>
          <w:rFonts w:ascii="Arial" w:hAnsi="Arial" w:cs="Arial"/>
          <w:b/>
          <w:sz w:val="24"/>
        </w:rPr>
        <w:t xml:space="preserve"> – 2</w:t>
      </w:r>
      <w:r w:rsidR="006E7285">
        <w:rPr>
          <w:rFonts w:ascii="Arial" w:hAnsi="Arial" w:cs="Arial"/>
          <w:b/>
          <w:sz w:val="24"/>
        </w:rPr>
        <w:t>4</w:t>
      </w:r>
      <w:bookmarkStart w:id="0" w:name="_GoBack"/>
      <w:bookmarkEnd w:id="0"/>
      <w:r w:rsidRPr="00AD20CC">
        <w:rPr>
          <w:rFonts w:ascii="Arial" w:hAnsi="Arial" w:cs="Arial"/>
          <w:b/>
          <w:sz w:val="24"/>
          <w:vertAlign w:val="superscript"/>
        </w:rPr>
        <w:t>th</w:t>
      </w:r>
      <w:r w:rsidRPr="00AD20CC">
        <w:rPr>
          <w:rFonts w:ascii="Arial" w:hAnsi="Arial" w:cs="Arial"/>
          <w:b/>
          <w:sz w:val="24"/>
        </w:rPr>
        <w:t>, 2018</w:t>
      </w:r>
    </w:p>
    <w:p w:rsidR="009D15C5" w:rsidRDefault="009D15C5" w:rsidP="009D15C5">
      <w:pPr>
        <w:tabs>
          <w:tab w:val="left" w:pos="1980"/>
          <w:tab w:val="right" w:pos="9072"/>
          <w:tab w:val="right" w:pos="10206"/>
        </w:tabs>
        <w:ind w:left="2070" w:hanging="2070"/>
        <w:rPr>
          <w:rFonts w:ascii="Arial" w:hAnsi="Arial"/>
          <w:b/>
          <w:sz w:val="24"/>
        </w:rPr>
      </w:pPr>
      <w:r w:rsidRPr="00AD20CC">
        <w:rPr>
          <w:rFonts w:ascii="Arial" w:hAnsi="Arial"/>
          <w:b/>
          <w:sz w:val="24"/>
        </w:rPr>
        <w:tab/>
      </w:r>
      <w:bookmarkStart w:id="1" w:name="DocumentFor"/>
      <w:bookmarkEnd w:id="1"/>
    </w:p>
    <w:tbl>
      <w:tblPr>
        <w:tblStyle w:val="TableGrid"/>
        <w:tblW w:w="998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377"/>
        <w:gridCol w:w="7718"/>
      </w:tblGrid>
      <w:tr w:rsidR="009D15C5" w:rsidRPr="00AD20CC" w:rsidTr="000173EC">
        <w:trPr>
          <w:trHeight w:val="303"/>
        </w:trPr>
        <w:tc>
          <w:tcPr>
            <w:tcW w:w="1890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Source</w:t>
            </w:r>
          </w:p>
        </w:tc>
        <w:tc>
          <w:tcPr>
            <w:tcW w:w="377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Intel Corporation</w:t>
            </w:r>
          </w:p>
        </w:tc>
      </w:tr>
      <w:tr w:rsidR="009D15C5" w:rsidRPr="00AD20CC" w:rsidTr="000173EC">
        <w:trPr>
          <w:trHeight w:val="303"/>
        </w:trPr>
        <w:tc>
          <w:tcPr>
            <w:tcW w:w="1890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Title</w:t>
            </w:r>
          </w:p>
        </w:tc>
        <w:tc>
          <w:tcPr>
            <w:tcW w:w="377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Area Traffic Capacity Evaluation for NR Indoor Hotspot eMBB</w:t>
            </w:r>
          </w:p>
        </w:tc>
      </w:tr>
      <w:tr w:rsidR="009D15C5" w:rsidRPr="00AD20CC" w:rsidTr="000173EC">
        <w:trPr>
          <w:trHeight w:val="303"/>
        </w:trPr>
        <w:tc>
          <w:tcPr>
            <w:tcW w:w="1890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Agenda Item</w:t>
            </w:r>
          </w:p>
        </w:tc>
        <w:tc>
          <w:tcPr>
            <w:tcW w:w="377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ind w:left="1980" w:right="-108" w:hanging="1980"/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7.2.7.2    Others</w:t>
            </w:r>
          </w:p>
        </w:tc>
      </w:tr>
      <w:tr w:rsidR="009D15C5" w:rsidRPr="00AD20CC" w:rsidTr="000173EC">
        <w:trPr>
          <w:trHeight w:val="290"/>
        </w:trPr>
        <w:tc>
          <w:tcPr>
            <w:tcW w:w="1890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Document for</w:t>
            </w:r>
          </w:p>
        </w:tc>
        <w:tc>
          <w:tcPr>
            <w:tcW w:w="377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9D15C5" w:rsidRPr="00AD20CC" w:rsidRDefault="009D15C5" w:rsidP="000173EC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Discussion and Decision</w:t>
            </w:r>
          </w:p>
        </w:tc>
      </w:tr>
    </w:tbl>
    <w:p w:rsidR="009D15C5" w:rsidRPr="009A730D" w:rsidRDefault="009D15C5" w:rsidP="009D15C5">
      <w:pPr>
        <w:pStyle w:val="Heading1"/>
      </w:pPr>
      <w:r w:rsidRPr="009A730D">
        <w:t>Introduction</w:t>
      </w:r>
    </w:p>
    <w:p w:rsidR="00AD1AC9" w:rsidRDefault="009D15C5" w:rsidP="009D15C5">
      <w:pPr>
        <w:spacing w:before="240"/>
        <w:jc w:val="both"/>
      </w:pPr>
      <w:r w:rsidRPr="00AD20CC">
        <w:t>This paper is related to the “</w:t>
      </w:r>
      <w:r w:rsidRPr="00562155">
        <w:rPr>
          <w:i/>
        </w:rPr>
        <w:t>New Study Item on Self-Evaluation towards IMT-2020 submission</w:t>
      </w:r>
      <w:r w:rsidRPr="00AD20CC">
        <w:t>” [1]. In this paper,</w:t>
      </w:r>
      <w:r>
        <w:t xml:space="preserve"> we provide self-evaluation results for the analytical metrics Area Traffic Capacity for the NR Indoor Hotspot eMBB test environment</w:t>
      </w:r>
      <w:r w:rsidRPr="00AD20CC">
        <w:t>.</w:t>
      </w:r>
      <w:r>
        <w:t xml:space="preserve"> The results presented in this paper show that NR can meet IMT-2020 minimum requirements </w:t>
      </w:r>
      <w:r>
        <w:fldChar w:fldCharType="begin"/>
      </w:r>
      <w:r>
        <w:instrText xml:space="preserve"> REF _Ref520883657 \r \h </w:instrText>
      </w:r>
      <w:r>
        <w:fldChar w:fldCharType="separate"/>
      </w:r>
      <w:r>
        <w:t>[2]</w:t>
      </w:r>
      <w:r>
        <w:fldChar w:fldCharType="end"/>
      </w:r>
      <w:r>
        <w:t xml:space="preserve"> for Area Traffic Capacity for both frequency range 1 and frequency range 2 </w:t>
      </w:r>
      <w:r>
        <w:fldChar w:fldCharType="begin"/>
      </w:r>
      <w:r>
        <w:instrText xml:space="preserve"> REF _Ref521659291 \r \h </w:instrText>
      </w:r>
      <w:r>
        <w:fldChar w:fldCharType="separate"/>
      </w:r>
      <w:r>
        <w:t>[5]</w:t>
      </w:r>
      <w:r>
        <w:fldChar w:fldCharType="end"/>
      </w:r>
      <w:r>
        <w:fldChar w:fldCharType="begin"/>
      </w:r>
      <w:r>
        <w:instrText xml:space="preserve"> REF _Ref521659295 \r \h </w:instrText>
      </w:r>
      <w:r>
        <w:fldChar w:fldCharType="separate"/>
      </w:r>
      <w:r>
        <w:t>[6]</w:t>
      </w:r>
      <w:r>
        <w:fldChar w:fldCharType="end"/>
      </w:r>
      <w:r>
        <w:t>.</w:t>
      </w:r>
    </w:p>
    <w:p w:rsidR="009D15C5" w:rsidRDefault="009D15C5" w:rsidP="009D15C5">
      <w:pPr>
        <w:pStyle w:val="Heading1"/>
      </w:pPr>
      <w:r>
        <w:t xml:space="preserve">Evaluation Methodology </w:t>
      </w:r>
    </w:p>
    <w:p w:rsidR="009D15C5" w:rsidRDefault="009D15C5" w:rsidP="009D15C5">
      <w:pPr>
        <w:spacing w:before="240"/>
        <w:jc w:val="both"/>
        <w:rPr>
          <w:lang w:eastAsia="x-none"/>
        </w:rPr>
      </w:pPr>
      <w:r>
        <w:t xml:space="preserve">The analytical metric of Area Traffic Capacity is defined for the NR Indoor Hotspot test environment with 12 TRxP and 36 TRxP deployment </w:t>
      </w:r>
      <w:r>
        <w:fldChar w:fldCharType="begin"/>
      </w:r>
      <w:r>
        <w:instrText xml:space="preserve"> REF _Ref521659385 \r \h </w:instrText>
      </w:r>
      <w:r>
        <w:fldChar w:fldCharType="separate"/>
      </w:r>
      <w:r>
        <w:t>[3]</w:t>
      </w:r>
      <w:r>
        <w:fldChar w:fldCharType="end"/>
      </w:r>
      <w:r>
        <w:t>. The area traffic capacity can be calculated analytically as follows:</w:t>
      </w:r>
    </w:p>
    <w:p w:rsidR="009D15C5" w:rsidRDefault="009D15C5" w:rsidP="009D15C5">
      <w:pPr>
        <w:spacing w:before="240" w:after="240"/>
        <w:jc w:val="center"/>
        <w:rPr>
          <w:lang w:eastAsia="x-none"/>
        </w:rPr>
      </w:pPr>
      <w:r w:rsidRPr="001364EC">
        <w:rPr>
          <w:position w:val="-14"/>
          <w:lang w:eastAsia="x-none"/>
        </w:rPr>
        <w:object w:dxaOrig="20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45pt;height:19.3pt" o:ole="">
            <v:imagedata r:id="rId9" o:title=""/>
          </v:shape>
          <o:OLEObject Type="Embed" ProgID="Equation.DSMT4" ShapeID="_x0000_i1025" DrawAspect="Content" ObjectID="_1595454053" r:id="rId10"/>
        </w:object>
      </w:r>
      <w:r>
        <w:rPr>
          <w:lang w:eastAsia="x-none"/>
        </w:rPr>
        <w:t>.</w:t>
      </w:r>
    </w:p>
    <w:p w:rsidR="007132FE" w:rsidRDefault="009D15C5" w:rsidP="007132FE">
      <w:pPr>
        <w:jc w:val="both"/>
        <w:rPr>
          <w:lang w:val="en-GB"/>
        </w:rPr>
      </w:pPr>
      <w:r>
        <w:rPr>
          <w:lang w:eastAsia="x-none"/>
        </w:rPr>
        <w:t>Here</w:t>
      </w:r>
      <w:r w:rsidRPr="001364EC">
        <w:rPr>
          <w:position w:val="-10"/>
          <w:lang w:eastAsia="x-none"/>
        </w:rPr>
        <w:object w:dxaOrig="240" w:dyaOrig="260">
          <v:shape id="_x0000_i1026" type="#_x0000_t75" style="width:10.7pt;height:12pt" o:ole="">
            <v:imagedata r:id="rId11" o:title=""/>
          </v:shape>
          <o:OLEObject Type="Embed" ProgID="Equation.DSMT4" ShapeID="_x0000_i1026" DrawAspect="Content" ObjectID="_1595454054" r:id="rId12"/>
        </w:object>
      </w:r>
      <w:r>
        <w:rPr>
          <w:lang w:eastAsia="x-none"/>
        </w:rPr>
        <w:t xml:space="preserve"> is the TRxP density in TRxP/m</w:t>
      </w:r>
      <w:r>
        <w:rPr>
          <w:vertAlign w:val="superscript"/>
          <w:lang w:eastAsia="x-none"/>
        </w:rPr>
        <w:t xml:space="preserve">2 </w:t>
      </w:r>
      <w:r>
        <w:rPr>
          <w:lang w:eastAsia="x-none"/>
        </w:rPr>
        <w:t xml:space="preserve">and average spectral efficiency is evaluated through system level simulations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_Ref521659385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[3]</w:t>
      </w:r>
      <w:r>
        <w:rPr>
          <w:lang w:eastAsia="x-none"/>
        </w:rPr>
        <w:fldChar w:fldCharType="end"/>
      </w:r>
      <w:r>
        <w:rPr>
          <w:lang w:eastAsia="x-none"/>
        </w:rPr>
        <w:t xml:space="preserve">. </w:t>
      </w:r>
      <w:r w:rsidR="007132FE">
        <w:rPr>
          <w:lang w:val="en-GB"/>
        </w:rPr>
        <w:t xml:space="preserve">For the case of TDD operation, the area traffic capacity should be scaled appropriately using the DL/UL ratio for the chosen TDD frame structure. Therefore for TDD operation, the area traffic capacity can be calculated using the </w:t>
      </w:r>
      <w:r w:rsidR="00AD1AC9">
        <w:rPr>
          <w:lang w:val="en-GB"/>
        </w:rPr>
        <w:t>average downlink</w:t>
      </w:r>
      <w:r w:rsidR="007132FE">
        <w:rPr>
          <w:lang w:val="en-GB"/>
        </w:rPr>
        <w:t xml:space="preserve"> TDD spectral efficiency as follows:</w:t>
      </w:r>
    </w:p>
    <w:p w:rsidR="007132FE" w:rsidRDefault="00AD1AC9" w:rsidP="007132FE">
      <w:pPr>
        <w:spacing w:before="240"/>
        <w:jc w:val="center"/>
        <w:rPr>
          <w:lang w:val="en-GB"/>
        </w:rPr>
      </w:pPr>
      <w:r w:rsidRPr="001364EC">
        <w:rPr>
          <w:position w:val="-14"/>
          <w:lang w:eastAsia="x-none"/>
        </w:rPr>
        <w:object w:dxaOrig="2680" w:dyaOrig="400">
          <v:shape id="_x0000_i1027" type="#_x0000_t75" style="width:148.7pt;height:22.7pt" o:ole="">
            <v:imagedata r:id="rId13" o:title=""/>
          </v:shape>
          <o:OLEObject Type="Embed" ProgID="Equation.DSMT4" ShapeID="_x0000_i1027" DrawAspect="Content" ObjectID="_1595454055" r:id="rId14"/>
        </w:object>
      </w:r>
      <w:r w:rsidR="007132FE">
        <w:rPr>
          <w:lang w:val="en-GB"/>
        </w:rPr>
        <w:t>.</w:t>
      </w:r>
    </w:p>
    <w:p w:rsidR="007132FE" w:rsidRDefault="007132FE" w:rsidP="007132FE">
      <w:pPr>
        <w:jc w:val="center"/>
        <w:rPr>
          <w:lang w:val="en-GB"/>
        </w:rPr>
      </w:pPr>
    </w:p>
    <w:p w:rsidR="007132FE" w:rsidRDefault="007132FE" w:rsidP="007132FE">
      <w:r>
        <w:t xml:space="preserve">The additional scaling term </w:t>
      </w:r>
      <w:r w:rsidRPr="00A868BF">
        <w:rPr>
          <w:position w:val="-6"/>
        </w:rPr>
        <w:object w:dxaOrig="240" w:dyaOrig="220">
          <v:shape id="_x0000_i1028" type="#_x0000_t75" style="width:12pt;height:11.15pt" o:ole="">
            <v:imagedata r:id="rId15" o:title=""/>
          </v:shape>
          <o:OLEObject Type="Embed" ProgID="Equation.DSMT4" ShapeID="_x0000_i1028" DrawAspect="Content" ObjectID="_1595454056" r:id="rId16"/>
        </w:object>
      </w:r>
      <w:r>
        <w:t xml:space="preserve"> accounts for the DL/UL occupancy ratio for TDD and can be evaluated as follows</w:t>
      </w:r>
    </w:p>
    <w:p w:rsidR="007132FE" w:rsidRDefault="007132FE" w:rsidP="007132FE"/>
    <w:p w:rsidR="007132FE" w:rsidRDefault="00AD1AC9" w:rsidP="007132FE">
      <w:pPr>
        <w:spacing w:after="240"/>
        <w:jc w:val="center"/>
      </w:pPr>
      <w:r w:rsidRPr="007A2008">
        <w:rPr>
          <w:position w:val="-28"/>
        </w:rPr>
        <w:object w:dxaOrig="5720" w:dyaOrig="660">
          <v:shape id="_x0000_i1029" type="#_x0000_t75" style="width:286.3pt;height:33.45pt" o:ole="">
            <v:imagedata r:id="rId17" o:title=""/>
          </v:shape>
          <o:OLEObject Type="Embed" ProgID="Equation.DSMT4" ShapeID="_x0000_i1029" DrawAspect="Content" ObjectID="_1595454057" r:id="rId18"/>
        </w:object>
      </w:r>
      <w:r w:rsidR="007132FE">
        <w:t xml:space="preserve">. </w:t>
      </w:r>
    </w:p>
    <w:p w:rsidR="007132FE" w:rsidRDefault="007132FE" w:rsidP="007132FE">
      <w:pPr>
        <w:jc w:val="both"/>
      </w:pPr>
      <w:r>
        <w:t>In this paper, we consider a TDD frame structure of ‘D</w:t>
      </w:r>
      <w:r w:rsidR="004123B5">
        <w:t>DDSU</w:t>
      </w:r>
      <w:r>
        <w:t xml:space="preserve">’ with the S slot having </w:t>
      </w:r>
      <w:r w:rsidR="004123B5">
        <w:t>11</w:t>
      </w:r>
      <w:r>
        <w:t xml:space="preserve"> downlink symbols, </w:t>
      </w:r>
      <w:r w:rsidR="004123B5">
        <w:t>1</w:t>
      </w:r>
      <w:r>
        <w:t xml:space="preserve"> guard symbols and </w:t>
      </w:r>
      <w:r w:rsidR="004123B5">
        <w:t>2</w:t>
      </w:r>
      <w:r>
        <w:t xml:space="preserve"> uplink symbols. Therefore in this case</w:t>
      </w:r>
      <w:r w:rsidR="004123B5" w:rsidRPr="007A2008">
        <w:rPr>
          <w:position w:val="-12"/>
        </w:rPr>
        <w:object w:dxaOrig="1320" w:dyaOrig="360">
          <v:shape id="_x0000_i1030" type="#_x0000_t75" style="width:62pt;height:17pt" o:ole="">
            <v:imagedata r:id="rId19" o:title=""/>
          </v:shape>
          <o:OLEObject Type="Embed" ProgID="Equation.DSMT4" ShapeID="_x0000_i1030" DrawAspect="Content" ObjectID="_1595454058" r:id="rId20"/>
        </w:object>
      </w:r>
      <w:r>
        <w:t xml:space="preserve">. </w:t>
      </w:r>
    </w:p>
    <w:p w:rsidR="00CC1273" w:rsidRDefault="00CC1273" w:rsidP="00CC1273">
      <w:pPr>
        <w:spacing w:before="240"/>
        <w:jc w:val="both"/>
        <w:rPr>
          <w:lang w:eastAsia="x-none"/>
        </w:rPr>
      </w:pPr>
      <w:r>
        <w:rPr>
          <w:lang w:eastAsia="x-none"/>
        </w:rPr>
        <w:t xml:space="preserve">The Indoor Hotspot eMBB deployment is shown in the following figure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_Ref521659385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[3]</w:t>
      </w:r>
      <w:r>
        <w:rPr>
          <w:lang w:eastAsia="x-none"/>
        </w:rPr>
        <w:fldChar w:fldCharType="end"/>
      </w:r>
      <w:r>
        <w:rPr>
          <w:lang w:eastAsia="x-none"/>
        </w:rPr>
        <w:t xml:space="preserve">. </w:t>
      </w:r>
    </w:p>
    <w:p w:rsidR="00CC1273" w:rsidRDefault="00483169" w:rsidP="00CC1273">
      <w:pPr>
        <w:jc w:val="both"/>
        <w:rPr>
          <w:lang w:eastAsia="x-none"/>
        </w:rPr>
      </w:pPr>
      <w:r>
        <w:rPr>
          <w:noProof/>
          <w:sz w:val="24"/>
        </w:rPr>
        <w:object w:dxaOrig="1440" w:dyaOrig="1440">
          <v:shape id="_x0000_s1032" type="#_x0000_t75" style="position:absolute;left:0;text-align:left;margin-left:128.75pt;margin-top:11.5pt;width:223.6pt;height:107.9pt;z-index:251659264;mso-position-horizontal:absolute;mso-position-horizontal-relative:text;mso-position-vertical-relative:text">
            <v:imagedata r:id="rId21" o:title=""/>
            <w10:wrap type="square" side="right"/>
          </v:shape>
          <o:OLEObject Type="Embed" ProgID="Visio.Drawing.11" ShapeID="_x0000_s1032" DrawAspect="Content" ObjectID="_1595454067" r:id="rId22"/>
        </w:object>
      </w:r>
    </w:p>
    <w:p w:rsidR="00CC1273" w:rsidRDefault="00CC1273" w:rsidP="00CC1273">
      <w:pPr>
        <w:rPr>
          <w:lang w:eastAsia="x-none"/>
        </w:rPr>
      </w:pPr>
      <w:r>
        <w:rPr>
          <w:sz w:val="24"/>
          <w:lang w:val="en-GB"/>
        </w:rPr>
        <w:br w:type="textWrapping" w:clear="all"/>
      </w:r>
      <w:r>
        <w:rPr>
          <w:lang w:eastAsia="x-none"/>
        </w:rPr>
        <w:t xml:space="preserve">Based on this deployment scenario 12 cell sites are deployed over an indoor area of </w:t>
      </w:r>
      <w:r w:rsidRPr="00326DB2">
        <w:rPr>
          <w:position w:val="-6"/>
          <w:lang w:eastAsia="x-none"/>
        </w:rPr>
        <w:object w:dxaOrig="1880" w:dyaOrig="320">
          <v:shape id="_x0000_i1031" type="#_x0000_t75" style="width:84.85pt;height:14.55pt" o:ole="">
            <v:imagedata r:id="rId23" o:title=""/>
          </v:shape>
          <o:OLEObject Type="Embed" ProgID="Equation.DSMT4" ShapeID="_x0000_i1031" DrawAspect="Content" ObjectID="_1595454059" r:id="rId24"/>
        </w:object>
      </w:r>
      <w:r>
        <w:rPr>
          <w:lang w:eastAsia="x-none"/>
        </w:rPr>
        <w:t xml:space="preserve">. For the case </w:t>
      </w:r>
      <w:r>
        <w:rPr>
          <w:lang w:eastAsia="x-none"/>
        </w:rPr>
        <w:lastRenderedPageBreak/>
        <w:t xml:space="preserve">where we have 1 TRxP per cell site i.e., 12 TRxP deployment, we have </w:t>
      </w:r>
      <w:r w:rsidRPr="00326DB2">
        <w:rPr>
          <w:position w:val="-10"/>
          <w:lang w:eastAsia="x-none"/>
        </w:rPr>
        <w:object w:dxaOrig="1980" w:dyaOrig="360">
          <v:shape id="_x0000_i1032" type="#_x0000_t75" style="width:85pt;height:15pt" o:ole="">
            <v:imagedata r:id="rId25" o:title=""/>
          </v:shape>
          <o:OLEObject Type="Embed" ProgID="Equation.DSMT4" ShapeID="_x0000_i1032" DrawAspect="Content" ObjectID="_1595454060" r:id="rId26"/>
        </w:object>
      </w:r>
      <w:r>
        <w:rPr>
          <w:lang w:eastAsia="x-none"/>
        </w:rPr>
        <w:t xml:space="preserve"> and for the case of 3 TRxP per cell-site i.e., 36 TRxP deployment, we have </w:t>
      </w:r>
      <w:r w:rsidRPr="001364EC">
        <w:rPr>
          <w:position w:val="-10"/>
          <w:lang w:eastAsia="x-none"/>
        </w:rPr>
        <w:object w:dxaOrig="1980" w:dyaOrig="360">
          <v:shape id="_x0000_i1033" type="#_x0000_t75" style="width:86pt;height:15pt" o:ole="">
            <v:imagedata r:id="rId27" o:title=""/>
          </v:shape>
          <o:OLEObject Type="Embed" ProgID="Equation.DSMT4" ShapeID="_x0000_i1033" DrawAspect="Content" ObjectID="_1595454061" r:id="rId28"/>
        </w:object>
      </w:r>
      <w:r>
        <w:rPr>
          <w:lang w:eastAsia="x-none"/>
        </w:rPr>
        <w:t xml:space="preserve">. </w:t>
      </w:r>
    </w:p>
    <w:p w:rsidR="009D15C5" w:rsidRDefault="009D15C5" w:rsidP="00CC1273">
      <w:pPr>
        <w:spacing w:before="240"/>
        <w:jc w:val="both"/>
        <w:rPr>
          <w:lang w:eastAsia="x-none"/>
        </w:rPr>
      </w:pPr>
      <w:r>
        <w:rPr>
          <w:lang w:eastAsia="x-none"/>
        </w:rPr>
        <w:t xml:space="preserve">Based on the corresponding values of </w:t>
      </w:r>
      <w:r w:rsidRPr="00F52AB1">
        <w:rPr>
          <w:position w:val="-14"/>
          <w:lang w:eastAsia="x-none"/>
        </w:rPr>
        <w:object w:dxaOrig="840" w:dyaOrig="380">
          <v:shape id="_x0000_i1034" type="#_x0000_t75" style="width:42pt;height:19pt" o:ole="">
            <v:imagedata r:id="rId29" o:title=""/>
          </v:shape>
          <o:OLEObject Type="Embed" ProgID="Equation.DSMT4" ShapeID="_x0000_i1034" DrawAspect="Content" ObjectID="_1595454062" r:id="rId30"/>
        </w:object>
      </w:r>
      <w:r>
        <w:rPr>
          <w:lang w:eastAsia="x-none"/>
        </w:rPr>
        <w:t xml:space="preserve"> for a deployment scenario, we adopt the following methodology to show that NR can meet the IMT-2020 minimum requirement of 10 Mbit/sec/m</w:t>
      </w:r>
      <w:r>
        <w:rPr>
          <w:vertAlign w:val="superscript"/>
          <w:lang w:eastAsia="x-none"/>
        </w:rPr>
        <w:t>2</w:t>
      </w:r>
      <w:r>
        <w:rPr>
          <w:lang w:eastAsia="x-none"/>
        </w:rPr>
        <w:t xml:space="preserve"> for </w:t>
      </w:r>
      <w:r w:rsidR="00AD1AC9">
        <w:rPr>
          <w:lang w:eastAsia="x-none"/>
        </w:rPr>
        <w:t xml:space="preserve">downlink </w:t>
      </w:r>
      <w:r>
        <w:rPr>
          <w:lang w:eastAsia="x-none"/>
        </w:rPr>
        <w:t>area traffic capacity:</w:t>
      </w:r>
    </w:p>
    <w:p w:rsidR="009D15C5" w:rsidRDefault="009D15C5" w:rsidP="009D15C5">
      <w:pPr>
        <w:pStyle w:val="ListParagraph"/>
        <w:numPr>
          <w:ilvl w:val="0"/>
          <w:numId w:val="17"/>
        </w:numPr>
        <w:spacing w:before="240"/>
        <w:jc w:val="both"/>
        <w:rPr>
          <w:lang w:val="en-GB"/>
        </w:rPr>
      </w:pPr>
      <w:r w:rsidRPr="00F52AB1">
        <w:rPr>
          <w:lang w:val="en-GB"/>
        </w:rPr>
        <w:t xml:space="preserve">Run system level simulation with full-buffer traffic model </w:t>
      </w:r>
      <w:r>
        <w:rPr>
          <w:lang w:val="en-GB"/>
        </w:rPr>
        <w:t xml:space="preserve">for </w:t>
      </w:r>
      <w:r w:rsidRPr="00F52AB1">
        <w:rPr>
          <w:lang w:val="en-GB"/>
        </w:rPr>
        <w:t xml:space="preserve">IMT Indoor Hotspot eMBB Configurations A and B </w:t>
      </w:r>
      <w:r w:rsidRPr="00F52AB1">
        <w:rPr>
          <w:lang w:val="en-GB"/>
        </w:rPr>
        <w:fldChar w:fldCharType="begin"/>
      </w:r>
      <w:r w:rsidRPr="00F52AB1">
        <w:rPr>
          <w:lang w:val="en-GB"/>
        </w:rPr>
        <w:instrText xml:space="preserve"> REF _Ref521526118 \r \h </w:instrText>
      </w:r>
      <w:r w:rsidRPr="00F52AB1">
        <w:rPr>
          <w:lang w:val="en-GB"/>
        </w:rPr>
      </w:r>
      <w:r w:rsidRPr="00F52AB1">
        <w:rPr>
          <w:lang w:val="en-GB"/>
        </w:rPr>
        <w:fldChar w:fldCharType="separate"/>
      </w:r>
      <w:r w:rsidRPr="00F52AB1">
        <w:rPr>
          <w:lang w:val="en-GB"/>
        </w:rPr>
        <w:t>[3]</w:t>
      </w:r>
      <w:r w:rsidRPr="00F52AB1">
        <w:rPr>
          <w:lang w:val="en-GB"/>
        </w:rPr>
        <w:fldChar w:fldCharType="end"/>
      </w:r>
      <w:r w:rsidRPr="00F52AB1">
        <w:rPr>
          <w:lang w:val="en-GB"/>
        </w:rPr>
        <w:t xml:space="preserve"> to obtain the average </w:t>
      </w:r>
      <w:r>
        <w:rPr>
          <w:lang w:val="en-GB"/>
        </w:rPr>
        <w:t xml:space="preserve">downlink </w:t>
      </w:r>
      <w:r w:rsidRPr="00F52AB1">
        <w:rPr>
          <w:lang w:val="en-GB"/>
        </w:rPr>
        <w:t>cell spectral efficiency</w:t>
      </w:r>
      <w:r>
        <w:rPr>
          <w:rStyle w:val="FootnoteReference"/>
          <w:lang w:val="en-GB"/>
        </w:rPr>
        <w:footnoteReference w:id="1"/>
      </w:r>
      <w:r>
        <w:rPr>
          <w:lang w:val="en-GB"/>
        </w:rPr>
        <w:t>.</w:t>
      </w:r>
    </w:p>
    <w:p w:rsidR="009D15C5" w:rsidRPr="00F52AB1" w:rsidRDefault="009D15C5" w:rsidP="009D15C5">
      <w:pPr>
        <w:pStyle w:val="ListParagraph"/>
        <w:numPr>
          <w:ilvl w:val="0"/>
          <w:numId w:val="17"/>
        </w:numPr>
        <w:jc w:val="both"/>
        <w:rPr>
          <w:lang w:val="en-GB"/>
        </w:rPr>
      </w:pPr>
      <w:r w:rsidRPr="00F52AB1">
        <w:rPr>
          <w:lang w:val="en-GB"/>
        </w:rPr>
        <w:t xml:space="preserve">Using the above formula with </w:t>
      </w:r>
      <w:r w:rsidRPr="007F0B7C">
        <w:rPr>
          <w:position w:val="-12"/>
          <w:lang w:val="en-GB"/>
        </w:rPr>
        <w:object w:dxaOrig="499" w:dyaOrig="360">
          <v:shape id="_x0000_i1035" type="#_x0000_t75" style="width:25pt;height:18pt" o:ole="">
            <v:imagedata r:id="rId31" o:title=""/>
          </v:shape>
          <o:OLEObject Type="Embed" ProgID="Equation.DSMT4" ShapeID="_x0000_i1035" DrawAspect="Content" ObjectID="_1595454063" r:id="rId32"/>
        </w:object>
      </w:r>
      <w:r>
        <w:rPr>
          <w:lang w:val="en-GB"/>
        </w:rPr>
        <w:t xml:space="preserve">set to the </w:t>
      </w:r>
      <w:r w:rsidRPr="00F52AB1">
        <w:rPr>
          <w:lang w:val="en-GB"/>
        </w:rPr>
        <w:t xml:space="preserve">target </w:t>
      </w:r>
      <w:r>
        <w:rPr>
          <w:lang w:val="en-GB"/>
        </w:rPr>
        <w:t>area traffic capacity</w:t>
      </w:r>
      <w:r w:rsidRPr="00F52AB1">
        <w:rPr>
          <w:lang w:val="en-GB"/>
        </w:rPr>
        <w:t>, evaluate the value of</w:t>
      </w:r>
      <w:r>
        <w:rPr>
          <w:lang w:val="en-GB"/>
        </w:rPr>
        <w:t xml:space="preserve"> bandwidth </w:t>
      </w:r>
      <w:r w:rsidRPr="00F52AB1">
        <w:rPr>
          <w:i/>
          <w:lang w:val="en-GB"/>
        </w:rPr>
        <w:t>W</w:t>
      </w:r>
      <w:r w:rsidRPr="00F52AB1">
        <w:rPr>
          <w:lang w:val="en-GB"/>
        </w:rPr>
        <w:t xml:space="preserve">, required to meet the target </w:t>
      </w:r>
      <w:r>
        <w:rPr>
          <w:lang w:val="en-GB"/>
        </w:rPr>
        <w:t>area traffic capacity</w:t>
      </w:r>
      <w:r w:rsidRPr="00F52AB1">
        <w:rPr>
          <w:lang w:val="en-GB"/>
        </w:rPr>
        <w:t xml:space="preserve">. </w:t>
      </w:r>
    </w:p>
    <w:p w:rsidR="009D15C5" w:rsidRDefault="009D15C5" w:rsidP="009D15C5">
      <w:pPr>
        <w:pStyle w:val="ListParagraph"/>
        <w:numPr>
          <w:ilvl w:val="0"/>
          <w:numId w:val="17"/>
        </w:numPr>
        <w:jc w:val="both"/>
        <w:rPr>
          <w:lang w:val="en-GB"/>
        </w:rPr>
      </w:pPr>
      <w:r>
        <w:rPr>
          <w:lang w:val="en-GB"/>
        </w:rPr>
        <w:t xml:space="preserve">Use the supported bandwidth in NR to show that </w:t>
      </w:r>
      <w:r w:rsidRPr="00A67192">
        <w:rPr>
          <w:position w:val="-6"/>
          <w:lang w:val="en-GB"/>
        </w:rPr>
        <w:object w:dxaOrig="279" w:dyaOrig="279">
          <v:shape id="_x0000_i1036" type="#_x0000_t75" style="width:14.5pt;height:14.5pt" o:ole="">
            <v:imagedata r:id="rId33" o:title=""/>
          </v:shape>
          <o:OLEObject Type="Embed" ProgID="Equation.DSMT4" ShapeID="_x0000_i1036" DrawAspect="Content" ObjectID="_1595454064" r:id="rId34"/>
        </w:object>
      </w:r>
      <w:r>
        <w:rPr>
          <w:lang w:val="en-GB"/>
        </w:rPr>
        <w:t xml:space="preserve"> can be supported as operating BW thereby meeting IMT-2020 the requirements.</w:t>
      </w:r>
    </w:p>
    <w:p w:rsidR="00AD1AC9" w:rsidRDefault="00AD1AC9" w:rsidP="00AD1AC9">
      <w:pPr>
        <w:jc w:val="both"/>
        <w:rPr>
          <w:lang w:val="en-GB"/>
        </w:rPr>
      </w:pPr>
    </w:p>
    <w:p w:rsidR="00AD1AC9" w:rsidRPr="00AD1AC9" w:rsidRDefault="00AD1AC9" w:rsidP="00AD1AC9">
      <w:pPr>
        <w:jc w:val="both"/>
        <w:rPr>
          <w:lang w:val="en-GB"/>
        </w:rPr>
      </w:pPr>
    </w:p>
    <w:p w:rsidR="009D15C5" w:rsidRDefault="009D15C5" w:rsidP="009D15C5">
      <w:pPr>
        <w:pStyle w:val="Heading1"/>
      </w:pPr>
      <w:r>
        <w:t>Evaluation Results</w:t>
      </w:r>
    </w:p>
    <w:p w:rsidR="009D15C5" w:rsidRDefault="009D15C5" w:rsidP="009D15C5">
      <w:pPr>
        <w:spacing w:before="240"/>
        <w:jc w:val="both"/>
        <w:rPr>
          <w:lang w:val="en-GB"/>
        </w:rPr>
      </w:pPr>
      <w:r>
        <w:rPr>
          <w:lang w:val="en-GB"/>
        </w:rPr>
        <w:t xml:space="preserve">In this section, we present evaluation results for area traffic capacity for NR Indoor Hotspot eMBB downlink in frequency range 1 and 2. The average spectral efficiency is obtained from system level evaluations and the detailed </w:t>
      </w:r>
      <w:r w:rsidR="00CC1273">
        <w:rPr>
          <w:lang w:val="en-GB"/>
        </w:rPr>
        <w:t xml:space="preserve">system level </w:t>
      </w:r>
      <w:r>
        <w:rPr>
          <w:lang w:val="en-GB"/>
        </w:rPr>
        <w:t xml:space="preserve">evaluation assumptions are presented in our companion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_Ref521611644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[11]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:rsidR="009D15C5" w:rsidRPr="005D2304" w:rsidRDefault="009D15C5" w:rsidP="009D15C5">
      <w:pPr>
        <w:pStyle w:val="ListParagraph"/>
        <w:keepNext/>
        <w:widowControl w:val="0"/>
        <w:numPr>
          <w:ilvl w:val="0"/>
          <w:numId w:val="10"/>
        </w:numPr>
        <w:spacing w:before="240" w:after="60"/>
        <w:outlineLvl w:val="1"/>
        <w:rPr>
          <w:rFonts w:ascii="Arial" w:eastAsia="Batang" w:hAnsi="Arial"/>
          <w:bCs/>
          <w:iCs/>
          <w:vanish/>
          <w:sz w:val="24"/>
          <w:szCs w:val="28"/>
          <w:lang w:val="en-GB" w:eastAsia="x-none"/>
        </w:rPr>
      </w:pPr>
    </w:p>
    <w:p w:rsidR="009D15C5" w:rsidRPr="005D2304" w:rsidRDefault="009D15C5" w:rsidP="009D15C5">
      <w:pPr>
        <w:pStyle w:val="ListParagraph"/>
        <w:keepNext/>
        <w:widowControl w:val="0"/>
        <w:numPr>
          <w:ilvl w:val="0"/>
          <w:numId w:val="10"/>
        </w:numPr>
        <w:spacing w:before="240" w:after="60"/>
        <w:outlineLvl w:val="1"/>
        <w:rPr>
          <w:rFonts w:ascii="Arial" w:eastAsia="Batang" w:hAnsi="Arial"/>
          <w:bCs/>
          <w:iCs/>
          <w:vanish/>
          <w:sz w:val="24"/>
          <w:szCs w:val="28"/>
          <w:lang w:val="en-GB" w:eastAsia="x-none"/>
        </w:rPr>
      </w:pPr>
    </w:p>
    <w:p w:rsidR="009D15C5" w:rsidRPr="005D2304" w:rsidRDefault="009D15C5" w:rsidP="009D15C5">
      <w:pPr>
        <w:pStyle w:val="ListParagraph"/>
        <w:keepNext/>
        <w:widowControl w:val="0"/>
        <w:numPr>
          <w:ilvl w:val="0"/>
          <w:numId w:val="10"/>
        </w:numPr>
        <w:spacing w:before="240" w:after="60"/>
        <w:outlineLvl w:val="1"/>
        <w:rPr>
          <w:rFonts w:ascii="Arial" w:eastAsia="Batang" w:hAnsi="Arial"/>
          <w:bCs/>
          <w:iCs/>
          <w:vanish/>
          <w:sz w:val="24"/>
          <w:szCs w:val="28"/>
          <w:lang w:val="en-GB" w:eastAsia="x-none"/>
        </w:rPr>
      </w:pPr>
    </w:p>
    <w:p w:rsidR="009D15C5" w:rsidRDefault="009D15C5" w:rsidP="009D15C5">
      <w:pPr>
        <w:pStyle w:val="Heading2"/>
        <w:ind w:left="0" w:firstLine="0"/>
      </w:pPr>
      <w:r>
        <w:t>Frequency Range 1</w:t>
      </w:r>
    </w:p>
    <w:p w:rsidR="009D15C5" w:rsidRDefault="009D15C5" w:rsidP="00CC1273">
      <w:pPr>
        <w:spacing w:before="240"/>
        <w:jc w:val="both"/>
        <w:rPr>
          <w:lang w:val="en-GB"/>
        </w:rPr>
      </w:pPr>
      <w:r>
        <w:rPr>
          <w:lang w:val="en-GB"/>
        </w:rPr>
        <w:t xml:space="preserve">In this section, we provide the evaluation results for </w:t>
      </w:r>
      <w:r w:rsidR="007132FE">
        <w:rPr>
          <w:lang w:val="en-GB"/>
        </w:rPr>
        <w:t>Indoor Hotspot eMBB</w:t>
      </w:r>
      <w:r>
        <w:rPr>
          <w:lang w:val="en-GB"/>
        </w:rPr>
        <w:t xml:space="preserve"> Configuration A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_Ref521526118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with carrier frequency of 4GHz i.e., in FR1. The spectr</w:t>
      </w:r>
      <w:r w:rsidR="00AD1AC9">
        <w:rPr>
          <w:lang w:val="en-GB"/>
        </w:rPr>
        <w:t>al efficiency results from full-</w:t>
      </w:r>
      <w:r>
        <w:rPr>
          <w:lang w:val="en-GB"/>
        </w:rPr>
        <w:t>buffer system level simulations are s</w:t>
      </w:r>
      <w:r w:rsidR="00AD1AC9">
        <w:rPr>
          <w:lang w:val="en-GB"/>
        </w:rPr>
        <w:t>hown</w:t>
      </w:r>
      <w:r>
        <w:rPr>
          <w:lang w:val="en-GB"/>
        </w:rPr>
        <w:t xml:space="preserve"> in the following </w:t>
      </w:r>
      <w:r w:rsidR="007132FE">
        <w:rPr>
          <w:lang w:val="en-GB"/>
        </w:rPr>
        <w:t>table</w:t>
      </w:r>
      <w:r>
        <w:rPr>
          <w:lang w:val="en-GB"/>
        </w:rPr>
        <w:t xml:space="preserve">. </w:t>
      </w:r>
    </w:p>
    <w:p w:rsidR="009D15C5" w:rsidRPr="009565FF" w:rsidRDefault="009D15C5" w:rsidP="009D15C5">
      <w:pPr>
        <w:rPr>
          <w:lang w:val="en-GB" w:eastAsia="x-none"/>
        </w:rPr>
      </w:pPr>
    </w:p>
    <w:p w:rsidR="009D15C5" w:rsidRPr="00863772" w:rsidRDefault="009D15C5" w:rsidP="009D15C5">
      <w:pPr>
        <w:pStyle w:val="Caption"/>
        <w:keepNext/>
        <w:spacing w:after="240"/>
        <w:jc w:val="center"/>
        <w:rPr>
          <w:rFonts w:ascii="Arial" w:hAnsi="Arial" w:cs="Arial"/>
          <w:b/>
          <w:i w:val="0"/>
          <w:color w:val="000000" w:themeColor="text1"/>
          <w:sz w:val="20"/>
        </w:rPr>
      </w:pP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Table </w:t>
      </w:r>
      <w:r>
        <w:rPr>
          <w:rFonts w:ascii="Arial" w:hAnsi="Arial" w:cs="Arial"/>
          <w:b/>
          <w:i w:val="0"/>
          <w:color w:val="000000" w:themeColor="text1"/>
          <w:sz w:val="20"/>
        </w:rPr>
        <w:fldChar w:fldCharType="begin"/>
      </w:r>
      <w:r>
        <w:rPr>
          <w:rFonts w:ascii="Arial" w:hAnsi="Arial" w:cs="Arial"/>
          <w:b/>
          <w:i w:val="0"/>
          <w:color w:val="000000" w:themeColor="text1"/>
          <w:sz w:val="20"/>
        </w:rPr>
        <w:instrText xml:space="preserve"> SEQ Table \* ARABIC </w:instrText>
      </w:r>
      <w:r>
        <w:rPr>
          <w:rFonts w:ascii="Arial" w:hAnsi="Arial" w:cs="Arial"/>
          <w:b/>
          <w:i w:val="0"/>
          <w:color w:val="000000" w:themeColor="text1"/>
          <w:sz w:val="20"/>
        </w:rPr>
        <w:fldChar w:fldCharType="separate"/>
      </w:r>
      <w:r>
        <w:rPr>
          <w:rFonts w:ascii="Arial" w:hAnsi="Arial" w:cs="Arial"/>
          <w:b/>
          <w:i w:val="0"/>
          <w:noProof/>
          <w:color w:val="000000" w:themeColor="text1"/>
          <w:sz w:val="20"/>
        </w:rPr>
        <w:t>1</w:t>
      </w:r>
      <w:r>
        <w:rPr>
          <w:rFonts w:ascii="Arial" w:hAnsi="Arial" w:cs="Arial"/>
          <w:b/>
          <w:i w:val="0"/>
          <w:color w:val="000000" w:themeColor="text1"/>
          <w:sz w:val="20"/>
        </w:rPr>
        <w:fldChar w:fldCharType="end"/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: </w:t>
      </w:r>
      <w:r w:rsidR="007132FE">
        <w:rPr>
          <w:rFonts w:ascii="Arial" w:hAnsi="Arial" w:cs="Arial"/>
          <w:b/>
          <w:i w:val="0"/>
          <w:color w:val="000000" w:themeColor="text1"/>
          <w:sz w:val="20"/>
        </w:rPr>
        <w:t>Average Cell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 Spectral Efficiency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06"/>
        <w:gridCol w:w="1071"/>
        <w:gridCol w:w="1071"/>
        <w:gridCol w:w="1071"/>
        <w:gridCol w:w="1071"/>
      </w:tblGrid>
      <w:tr w:rsidR="009D15C5" w:rsidRPr="00F110A6" w:rsidTr="000173EC">
        <w:trPr>
          <w:trHeight w:val="582"/>
          <w:jc w:val="center"/>
        </w:trPr>
        <w:tc>
          <w:tcPr>
            <w:tcW w:w="0" w:type="auto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132FE" w:rsidRDefault="007132FE" w:rsidP="000173EC">
            <w:pPr>
              <w:tabs>
                <w:tab w:val="left" w:pos="2857"/>
              </w:tabs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Downlink</w:t>
            </w:r>
          </w:p>
          <w:p w:rsidR="009D15C5" w:rsidRPr="00385D8F" w:rsidRDefault="009D15C5" w:rsidP="000173EC">
            <w:pPr>
              <w:tabs>
                <w:tab w:val="left" w:pos="2857"/>
              </w:tabs>
              <w:jc w:val="center"/>
              <w:rPr>
                <w:rFonts w:ascii="Arial" w:hAnsi="Arial" w:cs="Arial"/>
                <w:b/>
                <w:lang w:eastAsia="x-none"/>
              </w:rPr>
            </w:pPr>
            <w:r w:rsidRPr="00385D8F">
              <w:rPr>
                <w:rFonts w:ascii="Arial" w:hAnsi="Arial" w:cs="Arial"/>
                <w:b/>
                <w:lang w:eastAsia="x-none"/>
              </w:rPr>
              <w:t>Spectral Efficiency</w:t>
            </w:r>
          </w:p>
          <w:p w:rsidR="009D15C5" w:rsidRPr="00F110A6" w:rsidRDefault="009D15C5" w:rsidP="000173EC">
            <w:pPr>
              <w:tabs>
                <w:tab w:val="left" w:pos="2857"/>
              </w:tabs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385D8F">
              <w:rPr>
                <w:rFonts w:ascii="Arial" w:hAnsi="Arial" w:cs="Arial"/>
                <w:b/>
                <w:lang w:eastAsia="x-none"/>
              </w:rPr>
              <w:t>(bits/s/Hz)</w:t>
            </w:r>
          </w:p>
        </w:tc>
        <w:tc>
          <w:tcPr>
            <w:tcW w:w="0" w:type="auto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15C5" w:rsidRDefault="009D15C5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 xml:space="preserve">Indoor Hotspot eMBB Configuration A </w:t>
            </w:r>
          </w:p>
          <w:p w:rsidR="009D15C5" w:rsidRPr="00385D8F" w:rsidRDefault="009D15C5" w:rsidP="00685FD4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CF = 4GHz,</w:t>
            </w:r>
            <w:r w:rsidR="004123B5">
              <w:rPr>
                <w:rFonts w:ascii="Arial" w:hAnsi="Arial" w:cs="Arial"/>
                <w:b/>
                <w:lang w:eastAsia="x-none"/>
              </w:rPr>
              <w:t xml:space="preserve"> SCS = 15kHz</w:t>
            </w:r>
            <w:r w:rsidR="00685FD4">
              <w:rPr>
                <w:rFonts w:ascii="Arial" w:hAnsi="Arial" w:cs="Arial"/>
                <w:b/>
                <w:lang w:eastAsia="x-none"/>
              </w:rPr>
              <w:t>,</w:t>
            </w:r>
            <w:r>
              <w:rPr>
                <w:rFonts w:ascii="Arial" w:hAnsi="Arial" w:cs="Arial"/>
                <w:b/>
                <w:lang w:eastAsia="x-none"/>
              </w:rPr>
              <w:t xml:space="preserve"> Channel Model A</w:t>
            </w:r>
          </w:p>
        </w:tc>
      </w:tr>
      <w:tr w:rsidR="009D15C5" w:rsidRPr="00F110A6" w:rsidTr="00685FD4">
        <w:trPr>
          <w:trHeight w:val="343"/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15C5" w:rsidRPr="00F110A6" w:rsidRDefault="009D15C5" w:rsidP="000173EC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15C5" w:rsidRPr="009565FF" w:rsidRDefault="009D15C5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9565FF">
              <w:rPr>
                <w:rFonts w:ascii="Arial" w:hAnsi="Arial" w:cs="Arial"/>
                <w:b/>
                <w:lang w:eastAsia="x-none"/>
              </w:rPr>
              <w:t>12 TRxP</w:t>
            </w:r>
          </w:p>
        </w:tc>
        <w:tc>
          <w:tcPr>
            <w:tcW w:w="0" w:type="auto"/>
            <w:gridSpan w:val="2"/>
            <w:tcBorders>
              <w:right w:val="double" w:sz="4" w:space="0" w:color="auto"/>
            </w:tcBorders>
            <w:vAlign w:val="center"/>
          </w:tcPr>
          <w:p w:rsidR="009D15C5" w:rsidRPr="009565FF" w:rsidRDefault="007132FE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36</w:t>
            </w:r>
            <w:r w:rsidR="009D15C5" w:rsidRPr="009565FF">
              <w:rPr>
                <w:rFonts w:ascii="Arial" w:hAnsi="Arial" w:cs="Arial"/>
                <w:b/>
                <w:lang w:eastAsia="x-none"/>
              </w:rPr>
              <w:t xml:space="preserve"> TRxP</w:t>
            </w:r>
          </w:p>
        </w:tc>
      </w:tr>
      <w:tr w:rsidR="009D15C5" w:rsidRPr="00F110A6" w:rsidTr="00685FD4">
        <w:trPr>
          <w:trHeight w:val="262"/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15C5" w:rsidRPr="00F110A6" w:rsidRDefault="009D15C5" w:rsidP="000173EC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D15C5" w:rsidRPr="009565FF" w:rsidRDefault="009D15C5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FDD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D15C5" w:rsidRPr="009565FF" w:rsidRDefault="007132FE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T</w:t>
            </w:r>
            <w:r w:rsidR="009D15C5">
              <w:rPr>
                <w:rFonts w:ascii="Arial" w:hAnsi="Arial" w:cs="Arial"/>
                <w:b/>
                <w:lang w:eastAsia="x-none"/>
              </w:rPr>
              <w:t>DD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D15C5" w:rsidRPr="009565FF" w:rsidRDefault="009D15C5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FDD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D15C5" w:rsidRPr="009565FF" w:rsidRDefault="007132FE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T</w:t>
            </w:r>
            <w:r w:rsidR="009D15C5">
              <w:rPr>
                <w:rFonts w:ascii="Arial" w:hAnsi="Arial" w:cs="Arial"/>
                <w:b/>
                <w:lang w:eastAsia="x-none"/>
              </w:rPr>
              <w:t>DD</w:t>
            </w:r>
          </w:p>
        </w:tc>
      </w:tr>
      <w:tr w:rsidR="009D15C5" w:rsidRPr="00F110A6" w:rsidTr="00685FD4">
        <w:trPr>
          <w:trHeight w:val="47"/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15C5" w:rsidRPr="00CC1273" w:rsidRDefault="009D15C5" w:rsidP="000173EC">
            <w:pPr>
              <w:jc w:val="center"/>
              <w:rPr>
                <w:rFonts w:ascii="Arial" w:hAnsi="Arial" w:cs="Arial"/>
                <w:sz w:val="22"/>
                <w:szCs w:val="22"/>
                <w:lang w:eastAsia="x-none"/>
              </w:rPr>
            </w:pPr>
            <w:r w:rsidRPr="00CC1273">
              <w:rPr>
                <w:rFonts w:ascii="Arial" w:hAnsi="Arial" w:cs="Arial"/>
                <w:sz w:val="22"/>
                <w:szCs w:val="22"/>
                <w:lang w:eastAsia="x-none"/>
              </w:rPr>
              <w:t>Average (</w:t>
            </w:r>
            <w:r w:rsidRPr="00CC1273">
              <w:rPr>
                <w:rFonts w:ascii="Arial" w:hAnsi="Arial" w:cs="Arial"/>
                <w:position w:val="-14"/>
                <w:sz w:val="22"/>
                <w:szCs w:val="22"/>
                <w:lang w:eastAsia="x-none"/>
              </w:rPr>
              <w:object w:dxaOrig="560" w:dyaOrig="380">
                <v:shape id="_x0000_i1037" type="#_x0000_t75" style="width:28pt;height:19pt" o:ole="">
                  <v:imagedata r:id="rId35" o:title=""/>
                </v:shape>
                <o:OLEObject Type="Embed" ProgID="Equation.DSMT4" ShapeID="_x0000_i1037" DrawAspect="Content" ObjectID="_1595454065" r:id="rId36"/>
              </w:object>
            </w:r>
            <w:r w:rsidRPr="00CC1273">
              <w:rPr>
                <w:rFonts w:ascii="Arial" w:hAnsi="Arial" w:cs="Arial"/>
                <w:sz w:val="22"/>
                <w:szCs w:val="22"/>
                <w:lang w:eastAsia="x-none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D15C5" w:rsidRPr="00CC1273" w:rsidRDefault="009D15C5" w:rsidP="000173EC">
            <w:pPr>
              <w:jc w:val="center"/>
              <w:rPr>
                <w:color w:val="000000"/>
                <w:sz w:val="22"/>
                <w:szCs w:val="22"/>
              </w:rPr>
            </w:pPr>
            <w:r w:rsidRPr="00CC1273">
              <w:rPr>
                <w:color w:val="000000"/>
                <w:sz w:val="22"/>
                <w:szCs w:val="22"/>
              </w:rPr>
              <w:t>11.832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D15C5" w:rsidRPr="00CC1273" w:rsidRDefault="009D15C5" w:rsidP="000173EC">
            <w:pPr>
              <w:jc w:val="center"/>
              <w:rPr>
                <w:color w:val="000000"/>
                <w:sz w:val="22"/>
                <w:szCs w:val="22"/>
              </w:rPr>
            </w:pPr>
            <w:r w:rsidRPr="00CC1273">
              <w:rPr>
                <w:color w:val="000000"/>
                <w:sz w:val="22"/>
                <w:szCs w:val="22"/>
              </w:rPr>
              <w:t>11.163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D15C5" w:rsidRPr="00CC1273" w:rsidRDefault="009D15C5" w:rsidP="000173EC">
            <w:pPr>
              <w:jc w:val="center"/>
              <w:rPr>
                <w:color w:val="000000"/>
                <w:sz w:val="22"/>
                <w:szCs w:val="22"/>
              </w:rPr>
            </w:pPr>
            <w:r w:rsidRPr="00CC1273">
              <w:rPr>
                <w:color w:val="000000"/>
                <w:sz w:val="22"/>
                <w:szCs w:val="22"/>
              </w:rPr>
              <w:t>14.011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D15C5" w:rsidRPr="00CC1273" w:rsidRDefault="009D15C5" w:rsidP="000173EC">
            <w:pPr>
              <w:jc w:val="center"/>
              <w:rPr>
                <w:color w:val="000000"/>
                <w:sz w:val="22"/>
                <w:szCs w:val="22"/>
              </w:rPr>
            </w:pPr>
            <w:r w:rsidRPr="00CC1273">
              <w:rPr>
                <w:color w:val="000000"/>
                <w:sz w:val="22"/>
                <w:szCs w:val="22"/>
              </w:rPr>
              <w:t>13.219</w:t>
            </w:r>
          </w:p>
        </w:tc>
      </w:tr>
    </w:tbl>
    <w:p w:rsidR="009D15C5" w:rsidRDefault="009D15C5" w:rsidP="009D15C5">
      <w:pPr>
        <w:jc w:val="both"/>
        <w:rPr>
          <w:sz w:val="18"/>
          <w:lang w:val="en-GB" w:eastAsia="x-none"/>
        </w:rPr>
      </w:pPr>
    </w:p>
    <w:p w:rsidR="00AD1AC9" w:rsidRDefault="00AD1AC9" w:rsidP="009D15C5">
      <w:pPr>
        <w:jc w:val="both"/>
        <w:rPr>
          <w:lang w:val="en-GB"/>
        </w:rPr>
      </w:pPr>
    </w:p>
    <w:p w:rsidR="009D15C5" w:rsidRDefault="009D15C5" w:rsidP="009D15C5">
      <w:pPr>
        <w:jc w:val="both"/>
        <w:rPr>
          <w:lang w:val="en-GB"/>
        </w:rPr>
      </w:pPr>
      <w:r>
        <w:rPr>
          <w:lang w:val="en-GB"/>
        </w:rPr>
        <w:t xml:space="preserve">Based on </w:t>
      </w:r>
      <w:r w:rsidR="007132FE">
        <w:rPr>
          <w:lang w:val="en-GB"/>
        </w:rPr>
        <w:t>the average</w:t>
      </w:r>
      <w:r>
        <w:rPr>
          <w:lang w:val="en-GB"/>
        </w:rPr>
        <w:t xml:space="preserve"> spectral efficiency, we next evaluate the required BW to achieve the target </w:t>
      </w:r>
      <w:r w:rsidR="007132FE">
        <w:rPr>
          <w:lang w:val="en-GB"/>
        </w:rPr>
        <w:t>area traffic capacity</w:t>
      </w:r>
      <w:r>
        <w:rPr>
          <w:lang w:val="en-GB"/>
        </w:rPr>
        <w:t xml:space="preserve"> for downlink </w:t>
      </w:r>
      <w:r w:rsidR="007132FE">
        <w:rPr>
          <w:lang w:val="en-GB"/>
        </w:rPr>
        <w:t>with 12 TRxP and 36 TRxP deployments</w:t>
      </w:r>
      <w:r>
        <w:rPr>
          <w:lang w:val="en-GB"/>
        </w:rPr>
        <w:t>.</w:t>
      </w:r>
    </w:p>
    <w:p w:rsidR="00685FD4" w:rsidRDefault="00685FD4" w:rsidP="009D15C5">
      <w:pPr>
        <w:jc w:val="both"/>
        <w:rPr>
          <w:lang w:val="en-GB"/>
        </w:rPr>
      </w:pPr>
    </w:p>
    <w:p w:rsidR="009D15C5" w:rsidRPr="00863772" w:rsidRDefault="009D15C5" w:rsidP="009D15C5">
      <w:pPr>
        <w:pStyle w:val="Caption"/>
        <w:keepNext/>
        <w:spacing w:after="240"/>
        <w:jc w:val="center"/>
        <w:rPr>
          <w:rFonts w:ascii="Arial" w:hAnsi="Arial" w:cs="Arial"/>
          <w:b/>
          <w:i w:val="0"/>
          <w:color w:val="000000" w:themeColor="text1"/>
          <w:sz w:val="20"/>
        </w:rPr>
      </w:pP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Table 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fldChar w:fldCharType="begin"/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instrText xml:space="preserve"> SEQ Table \* ARABIC </w:instrTex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fldChar w:fldCharType="separate"/>
      </w:r>
      <w:r>
        <w:rPr>
          <w:rFonts w:ascii="Arial" w:hAnsi="Arial" w:cs="Arial"/>
          <w:b/>
          <w:i w:val="0"/>
          <w:noProof/>
          <w:color w:val="000000" w:themeColor="text1"/>
          <w:sz w:val="20"/>
        </w:rPr>
        <w:t>2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fldChar w:fldCharType="end"/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>: Required Bandwidth to Meet IMT</w:t>
      </w:r>
      <w:r>
        <w:rPr>
          <w:rFonts w:ascii="Arial" w:hAnsi="Arial" w:cs="Arial"/>
          <w:b/>
          <w:i w:val="0"/>
          <w:color w:val="000000" w:themeColor="text1"/>
          <w:sz w:val="20"/>
        </w:rPr>
        <w:t>-2020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 Target</w:t>
      </w:r>
      <w:r w:rsidR="007132FE">
        <w:rPr>
          <w:rFonts w:ascii="Arial" w:hAnsi="Arial" w:cs="Arial"/>
          <w:b/>
          <w:i w:val="0"/>
          <w:color w:val="000000" w:themeColor="text1"/>
          <w:sz w:val="20"/>
        </w:rPr>
        <w:t xml:space="preserve"> Area Traffic Capacity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7"/>
        <w:gridCol w:w="842"/>
        <w:gridCol w:w="842"/>
        <w:gridCol w:w="842"/>
        <w:gridCol w:w="842"/>
      </w:tblGrid>
      <w:tr w:rsidR="007132FE" w:rsidRPr="00F110A6" w:rsidTr="00CC1273">
        <w:trPr>
          <w:trHeight w:val="262"/>
          <w:jc w:val="center"/>
        </w:trPr>
        <w:tc>
          <w:tcPr>
            <w:tcW w:w="0" w:type="auto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132FE" w:rsidRDefault="007132FE" w:rsidP="007132FE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IMT-2020 Minimum</w:t>
            </w:r>
          </w:p>
          <w:p w:rsidR="007132FE" w:rsidRPr="00385D8F" w:rsidRDefault="007132FE" w:rsidP="007132FE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Requirement</w:t>
            </w:r>
          </w:p>
        </w:tc>
        <w:tc>
          <w:tcPr>
            <w:tcW w:w="0" w:type="auto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C1273" w:rsidRDefault="007132FE" w:rsidP="00CC1273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Bandwidth (MHz)</w:t>
            </w:r>
            <w:r w:rsidR="00685FD4">
              <w:rPr>
                <w:rFonts w:ascii="Arial" w:hAnsi="Arial" w:cs="Arial"/>
                <w:b/>
                <w:sz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x-none"/>
              </w:rPr>
              <w:t>Required to</w:t>
            </w:r>
            <w:r w:rsidR="00CC1273">
              <w:rPr>
                <w:rFonts w:ascii="Arial" w:hAnsi="Arial" w:cs="Arial"/>
                <w:b/>
                <w:sz w:val="18"/>
                <w:lang w:eastAsia="x-none"/>
              </w:rPr>
              <w:t xml:space="preserve"> Satisfy </w:t>
            </w:r>
          </w:p>
          <w:p w:rsidR="00CC1273" w:rsidRDefault="00CC1273" w:rsidP="00CC1273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Minimum Requirement</w:t>
            </w:r>
          </w:p>
        </w:tc>
      </w:tr>
      <w:tr w:rsidR="007132FE" w:rsidRPr="00F110A6" w:rsidTr="00685FD4">
        <w:trPr>
          <w:trHeight w:val="172"/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132FE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132FE" w:rsidRPr="009565FF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9565FF">
              <w:rPr>
                <w:rFonts w:ascii="Arial" w:hAnsi="Arial" w:cs="Arial"/>
                <w:b/>
                <w:lang w:eastAsia="x-none"/>
              </w:rPr>
              <w:t>12 TRxP</w:t>
            </w:r>
          </w:p>
        </w:tc>
        <w:tc>
          <w:tcPr>
            <w:tcW w:w="0" w:type="auto"/>
            <w:gridSpan w:val="2"/>
            <w:tcBorders>
              <w:right w:val="double" w:sz="4" w:space="0" w:color="auto"/>
            </w:tcBorders>
            <w:vAlign w:val="center"/>
          </w:tcPr>
          <w:p w:rsidR="007132FE" w:rsidRPr="009565FF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36</w:t>
            </w:r>
            <w:r w:rsidRPr="009565FF">
              <w:rPr>
                <w:rFonts w:ascii="Arial" w:hAnsi="Arial" w:cs="Arial"/>
                <w:b/>
                <w:lang w:eastAsia="x-none"/>
              </w:rPr>
              <w:t xml:space="preserve"> TRxP</w:t>
            </w:r>
          </w:p>
        </w:tc>
      </w:tr>
      <w:tr w:rsidR="007132FE" w:rsidRPr="00F110A6" w:rsidTr="00685FD4">
        <w:trPr>
          <w:trHeight w:val="47"/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132FE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132FE" w:rsidRPr="009565FF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FDD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7132FE" w:rsidRPr="009565FF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TDD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7132FE" w:rsidRPr="009565FF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FDD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7132FE" w:rsidRPr="009565FF" w:rsidRDefault="007132FE" w:rsidP="007132FE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TDD</w:t>
            </w:r>
          </w:p>
        </w:tc>
      </w:tr>
      <w:tr w:rsidR="00AD1AC9" w:rsidRPr="00F110A6" w:rsidTr="00685FD4">
        <w:trPr>
          <w:trHeight w:val="47"/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D1AC9" w:rsidRPr="00CC1273" w:rsidRDefault="00AD1AC9" w:rsidP="00AD1AC9">
            <w:pPr>
              <w:jc w:val="center"/>
              <w:rPr>
                <w:color w:val="000000"/>
                <w:sz w:val="22"/>
                <w:szCs w:val="22"/>
              </w:rPr>
            </w:pPr>
            <w:r w:rsidRPr="00CC1273">
              <w:rPr>
                <w:sz w:val="22"/>
                <w:lang w:eastAsia="x-none"/>
              </w:rPr>
              <w:t>10 Mbit/sec/m</w:t>
            </w:r>
            <w:r w:rsidRPr="00CC1273">
              <w:rPr>
                <w:sz w:val="22"/>
                <w:vertAlign w:val="superscript"/>
                <w:lang w:eastAsia="x-none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D1AC9" w:rsidRPr="00CC1273" w:rsidRDefault="00AD1AC9" w:rsidP="00AD1AC9">
            <w:pPr>
              <w:jc w:val="center"/>
              <w:rPr>
                <w:sz w:val="22"/>
              </w:rPr>
            </w:pPr>
            <w:r w:rsidRPr="00CC1273">
              <w:rPr>
                <w:sz w:val="22"/>
              </w:rPr>
              <w:t>423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D1AC9" w:rsidRPr="00CC1273" w:rsidRDefault="004123B5" w:rsidP="00AD1AC9">
            <w:pPr>
              <w:jc w:val="center"/>
              <w:rPr>
                <w:sz w:val="22"/>
              </w:rPr>
            </w:pPr>
            <w:r w:rsidRPr="00CC1273">
              <w:rPr>
                <w:sz w:val="22"/>
              </w:rPr>
              <w:t>592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D1AC9" w:rsidRPr="00CC1273" w:rsidRDefault="00AD1AC9" w:rsidP="00AD1AC9">
            <w:pPr>
              <w:jc w:val="center"/>
              <w:rPr>
                <w:sz w:val="22"/>
              </w:rPr>
            </w:pPr>
            <w:r w:rsidRPr="00CC1273">
              <w:rPr>
                <w:sz w:val="22"/>
              </w:rPr>
              <w:t xml:space="preserve">119  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D1AC9" w:rsidRPr="00CC1273" w:rsidRDefault="004123B5" w:rsidP="00AD1AC9">
            <w:pPr>
              <w:jc w:val="center"/>
              <w:rPr>
                <w:sz w:val="22"/>
              </w:rPr>
            </w:pPr>
            <w:r w:rsidRPr="00CC1273">
              <w:rPr>
                <w:sz w:val="22"/>
              </w:rPr>
              <w:t>167</w:t>
            </w:r>
          </w:p>
        </w:tc>
      </w:tr>
    </w:tbl>
    <w:p w:rsidR="009D15C5" w:rsidRDefault="009D15C5" w:rsidP="009D15C5">
      <w:pPr>
        <w:jc w:val="both"/>
        <w:rPr>
          <w:lang w:val="en-GB"/>
        </w:rPr>
      </w:pPr>
    </w:p>
    <w:p w:rsidR="009D15C5" w:rsidRPr="001C09DE" w:rsidRDefault="009D15C5" w:rsidP="009D15C5">
      <w:pPr>
        <w:jc w:val="both"/>
        <w:rPr>
          <w:lang w:val="en-GB"/>
        </w:rPr>
      </w:pPr>
      <w:r>
        <w:rPr>
          <w:lang w:val="en-GB"/>
        </w:rPr>
        <w:t xml:space="preserve">The following table shows the bandwidth supported by NR in Frequency Range 1 i.e., for carrier frequencies below 6 GHz. </w:t>
      </w:r>
    </w:p>
    <w:p w:rsidR="009D15C5" w:rsidRPr="001C09DE" w:rsidRDefault="009D15C5" w:rsidP="009D15C5">
      <w:pPr>
        <w:pStyle w:val="Caption"/>
        <w:keepNext/>
        <w:spacing w:before="240" w:after="240"/>
        <w:jc w:val="center"/>
        <w:rPr>
          <w:rFonts w:ascii="Arial" w:hAnsi="Arial" w:cs="Arial"/>
          <w:b/>
          <w:i w:val="0"/>
          <w:color w:val="000000" w:themeColor="text1"/>
          <w:sz w:val="20"/>
        </w:rPr>
      </w:pPr>
      <w:r w:rsidRPr="001C09DE">
        <w:rPr>
          <w:rFonts w:ascii="Arial" w:hAnsi="Arial" w:cs="Arial"/>
          <w:b/>
          <w:i w:val="0"/>
          <w:color w:val="000000" w:themeColor="text1"/>
          <w:sz w:val="20"/>
        </w:rPr>
        <w:lastRenderedPageBreak/>
        <w:t xml:space="preserve">Table </w:t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fldChar w:fldCharType="begin"/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instrText xml:space="preserve"> SEQ Table \* ARABIC </w:instrText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fldChar w:fldCharType="separate"/>
      </w:r>
      <w:r>
        <w:rPr>
          <w:rFonts w:ascii="Arial" w:hAnsi="Arial" w:cs="Arial"/>
          <w:b/>
          <w:i w:val="0"/>
          <w:noProof/>
          <w:color w:val="000000" w:themeColor="text1"/>
          <w:sz w:val="20"/>
        </w:rPr>
        <w:t>3</w:t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fldChar w:fldCharType="end"/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t>: Maximum transmission bandwidth configuration NRB in FR1</w:t>
      </w:r>
    </w:p>
    <w:tbl>
      <w:tblPr>
        <w:tblpPr w:leftFromText="142" w:rightFromText="142" w:vertAnchor="text" w:tblpXSpec="center" w:tblpY="1"/>
        <w:tblOverlap w:val="never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7"/>
        <w:gridCol w:w="839"/>
        <w:gridCol w:w="849"/>
        <w:gridCol w:w="849"/>
        <w:gridCol w:w="839"/>
        <w:gridCol w:w="839"/>
        <w:gridCol w:w="839"/>
        <w:gridCol w:w="839"/>
        <w:gridCol w:w="849"/>
        <w:gridCol w:w="841"/>
        <w:gridCol w:w="841"/>
        <w:gridCol w:w="833"/>
      </w:tblGrid>
      <w:tr w:rsidR="009D15C5" w:rsidTr="000173EC"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SCS (kHz)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5MHz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10MHz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15MHz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 MHz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25 MHz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30 MHz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40 MHz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50MHz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60 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80 MHz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100 MHz</w:t>
            </w:r>
          </w:p>
        </w:tc>
      </w:tr>
      <w:tr w:rsidR="009D15C5" w:rsidTr="000173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5C5" w:rsidRDefault="009D15C5" w:rsidP="000173EC">
            <w:pPr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Default="009D15C5" w:rsidP="000173E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</w:p>
        </w:tc>
      </w:tr>
      <w:tr w:rsidR="009D15C5" w:rsidTr="000173E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52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79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106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133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[160]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216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270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N/A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N/A</w:t>
            </w:r>
          </w:p>
        </w:tc>
      </w:tr>
      <w:tr w:rsidR="009D15C5" w:rsidTr="000173E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30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24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38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51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65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[78]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106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133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162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217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273</w:t>
            </w:r>
          </w:p>
        </w:tc>
      </w:tr>
      <w:tr w:rsidR="009D15C5" w:rsidTr="000173E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60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N/A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24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31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[38]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51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65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79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107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9D15C5" w:rsidRPr="00C90441" w:rsidRDefault="009D15C5" w:rsidP="000173EC">
            <w:pPr>
              <w:pStyle w:val="TAC"/>
              <w:rPr>
                <w:rFonts w:ascii="Times New Roman" w:hAnsi="Times New Roman"/>
              </w:rPr>
            </w:pPr>
            <w:r w:rsidRPr="00C90441">
              <w:rPr>
                <w:rFonts w:ascii="Times New Roman" w:hAnsi="Times New Roman"/>
              </w:rPr>
              <w:t>135</w:t>
            </w:r>
          </w:p>
        </w:tc>
      </w:tr>
    </w:tbl>
    <w:p w:rsidR="009D15C5" w:rsidRDefault="009D15C5" w:rsidP="009D15C5">
      <w:pPr>
        <w:rPr>
          <w:rFonts w:ascii="Times" w:eastAsia="Yu Mincho" w:hAnsi="Times"/>
          <w:lang w:val="en-GB"/>
        </w:rPr>
      </w:pPr>
    </w:p>
    <w:p w:rsidR="004123B5" w:rsidRDefault="009D15C5" w:rsidP="009D15C5">
      <w:pPr>
        <w:jc w:val="both"/>
        <w:rPr>
          <w:lang w:val="en-GB"/>
        </w:rPr>
      </w:pPr>
      <w:r>
        <w:rPr>
          <w:lang w:val="en-GB"/>
        </w:rPr>
        <w:t>Furthermore, NR also supports aggregation of 16 component carriers. Therefore from Table 2 a</w:t>
      </w:r>
      <w:r w:rsidR="004123B5">
        <w:rPr>
          <w:lang w:val="en-GB"/>
        </w:rPr>
        <w:t xml:space="preserve">nd Table 3, </w:t>
      </w:r>
      <w:r w:rsidR="00104B89">
        <w:rPr>
          <w:lang w:val="en-GB"/>
        </w:rPr>
        <w:t>we have:</w:t>
      </w:r>
    </w:p>
    <w:p w:rsidR="00104B89" w:rsidRDefault="004123B5" w:rsidP="00104B89">
      <w:pPr>
        <w:pStyle w:val="ListParagraph"/>
        <w:numPr>
          <w:ilvl w:val="0"/>
          <w:numId w:val="18"/>
        </w:numPr>
        <w:spacing w:before="240" w:after="240"/>
        <w:jc w:val="both"/>
        <w:rPr>
          <w:lang w:val="en-GB"/>
        </w:rPr>
      </w:pPr>
      <w:r w:rsidRPr="004123B5">
        <w:rPr>
          <w:b/>
          <w:i/>
          <w:lang w:val="en-GB"/>
        </w:rPr>
        <w:t xml:space="preserve">Indoor Hotspot eMBB 12 TRxP: </w:t>
      </w:r>
      <w:r w:rsidR="00104B89" w:rsidRPr="00104B89">
        <w:rPr>
          <w:lang w:val="en-GB"/>
        </w:rPr>
        <w:t>F</w:t>
      </w:r>
      <w:r w:rsidR="009D15C5" w:rsidRPr="004123B5">
        <w:rPr>
          <w:lang w:val="en-GB"/>
        </w:rPr>
        <w:t xml:space="preserve">or downlink FDD, NR can achieve the </w:t>
      </w:r>
      <w:r w:rsidRPr="004123B5">
        <w:rPr>
          <w:lang w:val="en-GB"/>
        </w:rPr>
        <w:t>area traffic capacity target of 10</w:t>
      </w:r>
      <w:r w:rsidR="009D15C5" w:rsidRPr="004123B5">
        <w:rPr>
          <w:lang w:val="en-GB"/>
        </w:rPr>
        <w:t xml:space="preserve"> Mbit/s</w:t>
      </w:r>
      <w:r w:rsidRPr="004123B5">
        <w:rPr>
          <w:lang w:val="en-GB"/>
        </w:rPr>
        <w:t>/m</w:t>
      </w:r>
      <w:r w:rsidRPr="004123B5">
        <w:rPr>
          <w:vertAlign w:val="superscript"/>
          <w:lang w:val="en-GB"/>
        </w:rPr>
        <w:t>2</w:t>
      </w:r>
      <w:r w:rsidR="009D15C5" w:rsidRPr="004123B5">
        <w:rPr>
          <w:lang w:val="en-GB"/>
        </w:rPr>
        <w:t xml:space="preserve"> by aggregating </w:t>
      </w:r>
      <w:r w:rsidRPr="004123B5">
        <w:rPr>
          <w:lang w:val="en-GB"/>
        </w:rPr>
        <w:t>9</w:t>
      </w:r>
      <w:r w:rsidR="009D15C5" w:rsidRPr="004123B5">
        <w:rPr>
          <w:lang w:val="en-GB"/>
        </w:rPr>
        <w:t xml:space="preserve"> component carriers, </w:t>
      </w:r>
      <w:r w:rsidRPr="004123B5">
        <w:rPr>
          <w:lang w:val="en-GB"/>
        </w:rPr>
        <w:t>each</w:t>
      </w:r>
      <w:r w:rsidR="009D15C5" w:rsidRPr="004123B5">
        <w:rPr>
          <w:lang w:val="en-GB"/>
        </w:rPr>
        <w:t xml:space="preserve"> of BW 50MHz. For the case of downlink TDD, NR requires the aggregation of </w:t>
      </w:r>
      <w:r w:rsidRPr="004123B5">
        <w:rPr>
          <w:lang w:val="en-GB"/>
        </w:rPr>
        <w:t>12</w:t>
      </w:r>
      <w:r w:rsidR="009D15C5" w:rsidRPr="004123B5">
        <w:rPr>
          <w:lang w:val="en-GB"/>
        </w:rPr>
        <w:t xml:space="preserve"> component carriers, </w:t>
      </w:r>
      <w:r w:rsidR="00104B89" w:rsidRPr="004123B5">
        <w:rPr>
          <w:lang w:val="en-GB"/>
        </w:rPr>
        <w:t>each</w:t>
      </w:r>
      <w:r w:rsidR="00104B89">
        <w:rPr>
          <w:lang w:val="en-GB"/>
        </w:rPr>
        <w:t xml:space="preserve"> of BW 50</w:t>
      </w:r>
      <w:r w:rsidR="009D15C5" w:rsidRPr="004123B5">
        <w:rPr>
          <w:lang w:val="en-GB"/>
        </w:rPr>
        <w:t>MHz.</w:t>
      </w:r>
    </w:p>
    <w:p w:rsidR="00104B89" w:rsidRDefault="00104B89" w:rsidP="00104B89">
      <w:pPr>
        <w:pStyle w:val="ListParagraph"/>
        <w:spacing w:before="240" w:after="240"/>
        <w:jc w:val="both"/>
        <w:rPr>
          <w:lang w:val="en-GB"/>
        </w:rPr>
      </w:pPr>
    </w:p>
    <w:p w:rsidR="004123B5" w:rsidRPr="004123B5" w:rsidRDefault="00104B89" w:rsidP="00104B89">
      <w:pPr>
        <w:pStyle w:val="ListParagraph"/>
        <w:numPr>
          <w:ilvl w:val="0"/>
          <w:numId w:val="18"/>
        </w:numPr>
        <w:spacing w:before="240"/>
        <w:jc w:val="both"/>
        <w:rPr>
          <w:lang w:val="en-GB"/>
        </w:rPr>
      </w:pPr>
      <w:r w:rsidRPr="004123B5">
        <w:rPr>
          <w:b/>
          <w:i/>
          <w:lang w:val="en-GB"/>
        </w:rPr>
        <w:t>Indoor Hotspot eMBB</w:t>
      </w:r>
      <w:r>
        <w:rPr>
          <w:b/>
          <w:i/>
          <w:lang w:val="en-GB"/>
        </w:rPr>
        <w:t xml:space="preserve"> 36</w:t>
      </w:r>
      <w:r w:rsidRPr="004123B5">
        <w:rPr>
          <w:b/>
          <w:i/>
          <w:lang w:val="en-GB"/>
        </w:rPr>
        <w:t xml:space="preserve"> TRxP: </w:t>
      </w:r>
      <w:r w:rsidRPr="00104B89">
        <w:rPr>
          <w:lang w:val="en-GB"/>
        </w:rPr>
        <w:t>F</w:t>
      </w:r>
      <w:r w:rsidRPr="004123B5">
        <w:rPr>
          <w:lang w:val="en-GB"/>
        </w:rPr>
        <w:t>or downlink FDD, NR can achieve the area traffic capacity target of 10 Mbit/s/m</w:t>
      </w:r>
      <w:r w:rsidRPr="004123B5">
        <w:rPr>
          <w:vertAlign w:val="superscript"/>
          <w:lang w:val="en-GB"/>
        </w:rPr>
        <w:t>2</w:t>
      </w:r>
      <w:r w:rsidRPr="004123B5">
        <w:rPr>
          <w:lang w:val="en-GB"/>
        </w:rPr>
        <w:t xml:space="preserve"> by aggregating </w:t>
      </w:r>
      <w:r>
        <w:rPr>
          <w:lang w:val="en-GB"/>
        </w:rPr>
        <w:t>3</w:t>
      </w:r>
      <w:r w:rsidRPr="004123B5">
        <w:rPr>
          <w:lang w:val="en-GB"/>
        </w:rPr>
        <w:t xml:space="preserve"> component carriers, </w:t>
      </w:r>
      <w:r>
        <w:rPr>
          <w:lang w:val="en-GB"/>
        </w:rPr>
        <w:t xml:space="preserve">with 2 </w:t>
      </w:r>
      <w:r w:rsidRPr="004123B5">
        <w:rPr>
          <w:lang w:val="en-GB"/>
        </w:rPr>
        <w:t>each of BW 50MHz</w:t>
      </w:r>
      <w:r>
        <w:rPr>
          <w:lang w:val="en-GB"/>
        </w:rPr>
        <w:t xml:space="preserve"> and one of BW 20MHz</w:t>
      </w:r>
      <w:r w:rsidRPr="004123B5">
        <w:rPr>
          <w:lang w:val="en-GB"/>
        </w:rPr>
        <w:t xml:space="preserve">. For the case of downlink TDD, NR requires the aggregation of </w:t>
      </w:r>
      <w:r>
        <w:rPr>
          <w:lang w:val="en-GB"/>
        </w:rPr>
        <w:t>4</w:t>
      </w:r>
      <w:r w:rsidRPr="004123B5">
        <w:rPr>
          <w:lang w:val="en-GB"/>
        </w:rPr>
        <w:t xml:space="preserve"> component carriers,</w:t>
      </w:r>
      <w:r>
        <w:rPr>
          <w:lang w:val="en-GB"/>
        </w:rPr>
        <w:t xml:space="preserve"> with 3</w:t>
      </w:r>
      <w:r w:rsidRPr="004123B5">
        <w:rPr>
          <w:lang w:val="en-GB"/>
        </w:rPr>
        <w:t xml:space="preserve"> each</w:t>
      </w:r>
      <w:r>
        <w:rPr>
          <w:lang w:val="en-GB"/>
        </w:rPr>
        <w:t xml:space="preserve"> of BW 50</w:t>
      </w:r>
      <w:r w:rsidRPr="004123B5">
        <w:rPr>
          <w:lang w:val="en-GB"/>
        </w:rPr>
        <w:t>MHz</w:t>
      </w:r>
      <w:r>
        <w:rPr>
          <w:lang w:val="en-GB"/>
        </w:rPr>
        <w:t xml:space="preserve"> and one of BW 20MHz</w:t>
      </w:r>
      <w:r w:rsidRPr="004123B5">
        <w:rPr>
          <w:lang w:val="en-GB"/>
        </w:rPr>
        <w:t>.</w:t>
      </w:r>
      <w:r w:rsidR="009D15C5" w:rsidRPr="004123B5">
        <w:rPr>
          <w:lang w:val="en-GB"/>
        </w:rPr>
        <w:t xml:space="preserve"> </w:t>
      </w:r>
    </w:p>
    <w:p w:rsidR="004123B5" w:rsidRDefault="004123B5" w:rsidP="009D15C5">
      <w:pPr>
        <w:jc w:val="both"/>
        <w:rPr>
          <w:lang w:val="en-GB"/>
        </w:rPr>
      </w:pPr>
    </w:p>
    <w:p w:rsidR="009D15C5" w:rsidRDefault="009D15C5" w:rsidP="009D15C5">
      <w:pPr>
        <w:jc w:val="both"/>
        <w:rPr>
          <w:lang w:val="en-GB"/>
        </w:rPr>
      </w:pPr>
      <w:r>
        <w:rPr>
          <w:lang w:val="en-GB"/>
        </w:rPr>
        <w:t xml:space="preserve">Note that the presented evaluation assumes 15 kHz subcarrier spacing. Similar results can be evaluated for higher SCS. </w:t>
      </w:r>
    </w:p>
    <w:p w:rsidR="009D15C5" w:rsidRDefault="009D15C5" w:rsidP="009D15C5">
      <w:pPr>
        <w:jc w:val="both"/>
        <w:rPr>
          <w:lang w:val="en-GB"/>
        </w:rPr>
      </w:pPr>
    </w:p>
    <w:p w:rsidR="009D15C5" w:rsidRDefault="009D15C5" w:rsidP="009D15C5">
      <w:pPr>
        <w:jc w:val="both"/>
        <w:rPr>
          <w:b/>
          <w:i/>
          <w:lang w:val="en-GB"/>
        </w:rPr>
      </w:pPr>
      <w:r w:rsidRPr="004F5AF5">
        <w:rPr>
          <w:b/>
          <w:i/>
          <w:lang w:val="en-GB"/>
        </w:rPr>
        <w:t>Observation:</w:t>
      </w:r>
    </w:p>
    <w:p w:rsidR="009D15C5" w:rsidRDefault="009D15C5" w:rsidP="009D15C5">
      <w:pPr>
        <w:ind w:left="720"/>
        <w:jc w:val="both"/>
        <w:rPr>
          <w:i/>
          <w:lang w:val="en-GB"/>
        </w:rPr>
      </w:pPr>
      <w:r>
        <w:rPr>
          <w:i/>
          <w:lang w:val="en-GB"/>
        </w:rPr>
        <w:t xml:space="preserve">NR </w:t>
      </w:r>
      <w:r w:rsidR="00104B89">
        <w:rPr>
          <w:i/>
          <w:lang w:val="en-GB"/>
        </w:rPr>
        <w:t>Indoor Hotspot eMBB</w:t>
      </w:r>
      <w:r>
        <w:rPr>
          <w:i/>
          <w:lang w:val="en-GB"/>
        </w:rPr>
        <w:t xml:space="preserve"> can meet the IMT-2020 minimum requirements for </w:t>
      </w:r>
      <w:r w:rsidR="00104B89">
        <w:rPr>
          <w:i/>
          <w:lang w:val="en-GB"/>
        </w:rPr>
        <w:t>area traffic capacity</w:t>
      </w:r>
      <w:r>
        <w:rPr>
          <w:i/>
          <w:lang w:val="en-GB"/>
        </w:rPr>
        <w:t xml:space="preserve"> for the case of FR1 in IMT Configuration </w:t>
      </w:r>
      <w:r w:rsidR="00104B89">
        <w:rPr>
          <w:i/>
          <w:lang w:val="en-GB"/>
        </w:rPr>
        <w:t>A</w:t>
      </w:r>
      <w:r>
        <w:rPr>
          <w:i/>
          <w:lang w:val="en-GB"/>
        </w:rPr>
        <w:t xml:space="preserve"> for both </w:t>
      </w:r>
      <w:r w:rsidR="00104B89">
        <w:rPr>
          <w:i/>
          <w:lang w:val="en-GB"/>
        </w:rPr>
        <w:t>12 and</w:t>
      </w:r>
      <w:r>
        <w:rPr>
          <w:i/>
          <w:lang w:val="en-GB"/>
        </w:rPr>
        <w:t xml:space="preserve"> </w:t>
      </w:r>
      <w:r w:rsidR="00104B89">
        <w:rPr>
          <w:i/>
          <w:lang w:val="en-GB"/>
        </w:rPr>
        <w:t xml:space="preserve">36 TRxP </w:t>
      </w:r>
      <w:r>
        <w:rPr>
          <w:i/>
          <w:lang w:val="en-GB"/>
        </w:rPr>
        <w:t>deployment.</w:t>
      </w:r>
    </w:p>
    <w:p w:rsidR="00685FD4" w:rsidRDefault="00685FD4" w:rsidP="00685FD4">
      <w:pPr>
        <w:pStyle w:val="Heading2"/>
        <w:ind w:left="0" w:firstLine="0"/>
      </w:pPr>
      <w:r>
        <w:t>Frequency Range 2</w:t>
      </w:r>
    </w:p>
    <w:p w:rsidR="00685FD4" w:rsidRDefault="00685FD4" w:rsidP="00685FD4">
      <w:pPr>
        <w:jc w:val="both"/>
        <w:rPr>
          <w:lang w:val="en-GB"/>
        </w:rPr>
      </w:pPr>
      <w:r>
        <w:rPr>
          <w:lang w:val="en-GB"/>
        </w:rPr>
        <w:t xml:space="preserve">In this section, we provide the evaluation results for Indoor Hotspot eMBB Configuration B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_Ref521526118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with carrier frequency of 30GHz i.e., in FR2. The spectral efficiency results from full-buffer system level simulations are shown in the following table.</w:t>
      </w:r>
    </w:p>
    <w:p w:rsidR="00685FD4" w:rsidRPr="009565FF" w:rsidRDefault="00685FD4" w:rsidP="00685FD4">
      <w:pPr>
        <w:rPr>
          <w:lang w:val="en-GB" w:eastAsia="x-none"/>
        </w:rPr>
      </w:pPr>
    </w:p>
    <w:p w:rsidR="00685FD4" w:rsidRPr="00863772" w:rsidRDefault="00685FD4" w:rsidP="00685FD4">
      <w:pPr>
        <w:pStyle w:val="Caption"/>
        <w:keepNext/>
        <w:spacing w:after="240"/>
        <w:jc w:val="center"/>
        <w:rPr>
          <w:rFonts w:ascii="Arial" w:hAnsi="Arial" w:cs="Arial"/>
          <w:b/>
          <w:i w:val="0"/>
          <w:color w:val="000000" w:themeColor="text1"/>
          <w:sz w:val="20"/>
        </w:rPr>
      </w:pP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Table </w:t>
      </w:r>
      <w:r>
        <w:rPr>
          <w:rFonts w:ascii="Arial" w:hAnsi="Arial" w:cs="Arial"/>
          <w:b/>
          <w:i w:val="0"/>
          <w:color w:val="000000" w:themeColor="text1"/>
          <w:sz w:val="20"/>
        </w:rPr>
        <w:fldChar w:fldCharType="begin"/>
      </w:r>
      <w:r>
        <w:rPr>
          <w:rFonts w:ascii="Arial" w:hAnsi="Arial" w:cs="Arial"/>
          <w:b/>
          <w:i w:val="0"/>
          <w:color w:val="000000" w:themeColor="text1"/>
          <w:sz w:val="20"/>
        </w:rPr>
        <w:instrText xml:space="preserve"> SEQ Table \* ARABIC </w:instrText>
      </w:r>
      <w:r>
        <w:rPr>
          <w:rFonts w:ascii="Arial" w:hAnsi="Arial" w:cs="Arial"/>
          <w:b/>
          <w:i w:val="0"/>
          <w:color w:val="000000" w:themeColor="text1"/>
          <w:sz w:val="20"/>
        </w:rPr>
        <w:fldChar w:fldCharType="separate"/>
      </w:r>
      <w:r w:rsidR="000173EC">
        <w:rPr>
          <w:rFonts w:ascii="Arial" w:hAnsi="Arial" w:cs="Arial"/>
          <w:b/>
          <w:i w:val="0"/>
          <w:noProof/>
          <w:color w:val="000000" w:themeColor="text1"/>
          <w:sz w:val="20"/>
        </w:rPr>
        <w:t>4</w:t>
      </w:r>
      <w:r>
        <w:rPr>
          <w:rFonts w:ascii="Arial" w:hAnsi="Arial" w:cs="Arial"/>
          <w:b/>
          <w:i w:val="0"/>
          <w:color w:val="000000" w:themeColor="text1"/>
          <w:sz w:val="20"/>
        </w:rPr>
        <w:fldChar w:fldCharType="end"/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: </w:t>
      </w:r>
      <w:r>
        <w:rPr>
          <w:rFonts w:ascii="Arial" w:hAnsi="Arial" w:cs="Arial"/>
          <w:b/>
          <w:i w:val="0"/>
          <w:color w:val="000000" w:themeColor="text1"/>
          <w:sz w:val="20"/>
        </w:rPr>
        <w:t>Average Cell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 Spectral Efficiency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06"/>
        <w:gridCol w:w="1919"/>
        <w:gridCol w:w="1919"/>
      </w:tblGrid>
      <w:tr w:rsidR="00685FD4" w:rsidRPr="00F110A6" w:rsidTr="000173EC">
        <w:trPr>
          <w:trHeight w:val="582"/>
          <w:jc w:val="center"/>
        </w:trPr>
        <w:tc>
          <w:tcPr>
            <w:tcW w:w="0" w:type="auto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85FD4" w:rsidRDefault="00685FD4" w:rsidP="000173EC">
            <w:pPr>
              <w:tabs>
                <w:tab w:val="left" w:pos="2857"/>
              </w:tabs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Downlink</w:t>
            </w:r>
          </w:p>
          <w:p w:rsidR="00685FD4" w:rsidRPr="00385D8F" w:rsidRDefault="00685FD4" w:rsidP="000173EC">
            <w:pPr>
              <w:tabs>
                <w:tab w:val="left" w:pos="2857"/>
              </w:tabs>
              <w:jc w:val="center"/>
              <w:rPr>
                <w:rFonts w:ascii="Arial" w:hAnsi="Arial" w:cs="Arial"/>
                <w:b/>
                <w:lang w:eastAsia="x-none"/>
              </w:rPr>
            </w:pPr>
            <w:r w:rsidRPr="00385D8F">
              <w:rPr>
                <w:rFonts w:ascii="Arial" w:hAnsi="Arial" w:cs="Arial"/>
                <w:b/>
                <w:lang w:eastAsia="x-none"/>
              </w:rPr>
              <w:t>Spectral Efficiency</w:t>
            </w:r>
          </w:p>
          <w:p w:rsidR="00685FD4" w:rsidRPr="00F110A6" w:rsidRDefault="00685FD4" w:rsidP="000173EC">
            <w:pPr>
              <w:tabs>
                <w:tab w:val="left" w:pos="2857"/>
              </w:tabs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385D8F">
              <w:rPr>
                <w:rFonts w:ascii="Arial" w:hAnsi="Arial" w:cs="Arial"/>
                <w:b/>
                <w:lang w:eastAsia="x-none"/>
              </w:rPr>
              <w:t>(bits/s/Hz)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85FD4" w:rsidRDefault="00685FD4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 xml:space="preserve">Indoor Hotspot eMBB Configuration B </w:t>
            </w:r>
          </w:p>
          <w:p w:rsidR="00543F39" w:rsidRDefault="00685FD4" w:rsidP="00AE633B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CF = 30GHz, SCS = 120kHz</w:t>
            </w:r>
            <w:r w:rsidR="00AE633B">
              <w:rPr>
                <w:rFonts w:ascii="Arial" w:hAnsi="Arial" w:cs="Arial"/>
                <w:b/>
                <w:lang w:eastAsia="x-none"/>
              </w:rPr>
              <w:t>,</w:t>
            </w:r>
            <w:r>
              <w:rPr>
                <w:rFonts w:ascii="Arial" w:hAnsi="Arial" w:cs="Arial"/>
                <w:b/>
                <w:lang w:eastAsia="x-none"/>
              </w:rPr>
              <w:t xml:space="preserve"> </w:t>
            </w:r>
          </w:p>
          <w:p w:rsidR="00685FD4" w:rsidRPr="00385D8F" w:rsidRDefault="00AE633B" w:rsidP="00AE633B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Channel Model B</w:t>
            </w:r>
            <w:r w:rsidR="00543F39">
              <w:rPr>
                <w:rFonts w:ascii="Arial" w:hAnsi="Arial" w:cs="Arial"/>
                <w:b/>
                <w:lang w:eastAsia="x-none"/>
              </w:rPr>
              <w:t>, TDD</w:t>
            </w:r>
          </w:p>
        </w:tc>
      </w:tr>
      <w:tr w:rsidR="00543F39" w:rsidRPr="00F110A6" w:rsidTr="00543F39">
        <w:trPr>
          <w:trHeight w:val="288"/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3F39" w:rsidRPr="00F110A6" w:rsidRDefault="00543F39" w:rsidP="000173EC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3F39" w:rsidRPr="009565FF" w:rsidRDefault="00543F39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9565FF">
              <w:rPr>
                <w:rFonts w:ascii="Arial" w:hAnsi="Arial" w:cs="Arial"/>
                <w:b/>
                <w:lang w:eastAsia="x-none"/>
              </w:rPr>
              <w:t>12 TRxP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543F39" w:rsidRPr="009565FF" w:rsidRDefault="00543F39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36</w:t>
            </w:r>
            <w:r w:rsidRPr="009565FF">
              <w:rPr>
                <w:rFonts w:ascii="Arial" w:hAnsi="Arial" w:cs="Arial"/>
                <w:b/>
                <w:lang w:eastAsia="x-none"/>
              </w:rPr>
              <w:t xml:space="preserve"> TRxP</w:t>
            </w:r>
          </w:p>
        </w:tc>
      </w:tr>
      <w:tr w:rsidR="00543F39" w:rsidRPr="00F110A6" w:rsidTr="00543F39">
        <w:trPr>
          <w:trHeight w:val="288"/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3F39" w:rsidRPr="009565FF" w:rsidRDefault="00543F39" w:rsidP="00543F39">
            <w:pPr>
              <w:jc w:val="center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Average (</w:t>
            </w:r>
            <w:r w:rsidRPr="00597FD1">
              <w:rPr>
                <w:rFonts w:ascii="Arial" w:hAnsi="Arial" w:cs="Arial"/>
                <w:position w:val="-14"/>
                <w:lang w:eastAsia="x-none"/>
              </w:rPr>
              <w:object w:dxaOrig="560" w:dyaOrig="380">
                <v:shape id="_x0000_i1038" type="#_x0000_t75" style="width:28pt;height:19pt" o:ole="">
                  <v:imagedata r:id="rId35" o:title=""/>
                </v:shape>
                <o:OLEObject Type="Embed" ProgID="Equation.DSMT4" ShapeID="_x0000_i1038" DrawAspect="Content" ObjectID="_1595454066" r:id="rId37"/>
              </w:object>
            </w:r>
            <w:r>
              <w:rPr>
                <w:rFonts w:ascii="Arial" w:hAnsi="Arial" w:cs="Arial"/>
                <w:lang w:eastAsia="x-none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3F39" w:rsidRPr="003A69DF" w:rsidRDefault="00543F39" w:rsidP="00543F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10.308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543F39" w:rsidRPr="003A69DF" w:rsidRDefault="00543F39" w:rsidP="00543F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10.567</w:t>
            </w:r>
          </w:p>
        </w:tc>
      </w:tr>
    </w:tbl>
    <w:p w:rsidR="00685FD4" w:rsidRDefault="00685FD4" w:rsidP="00685FD4">
      <w:pPr>
        <w:jc w:val="both"/>
        <w:rPr>
          <w:sz w:val="18"/>
          <w:lang w:val="en-GB" w:eastAsia="x-none"/>
        </w:rPr>
      </w:pPr>
    </w:p>
    <w:p w:rsidR="00685FD4" w:rsidRDefault="00685FD4" w:rsidP="00685FD4">
      <w:pPr>
        <w:jc w:val="both"/>
        <w:rPr>
          <w:lang w:val="en-GB"/>
        </w:rPr>
      </w:pPr>
    </w:p>
    <w:p w:rsidR="00685FD4" w:rsidRDefault="00685FD4" w:rsidP="00685FD4">
      <w:pPr>
        <w:jc w:val="both"/>
        <w:rPr>
          <w:lang w:val="en-GB"/>
        </w:rPr>
      </w:pPr>
      <w:r>
        <w:rPr>
          <w:lang w:val="en-GB"/>
        </w:rPr>
        <w:t>Based on the average spectral efficiency, we next evaluate the required BW to achieve the target area traffic capacity for downlink with 12 TRxP and 36 TRxP deployments.</w:t>
      </w:r>
    </w:p>
    <w:p w:rsidR="00685FD4" w:rsidRDefault="00685FD4" w:rsidP="00685FD4">
      <w:pPr>
        <w:jc w:val="both"/>
        <w:rPr>
          <w:lang w:val="en-GB"/>
        </w:rPr>
      </w:pPr>
    </w:p>
    <w:p w:rsidR="00685FD4" w:rsidRDefault="00685FD4" w:rsidP="00685FD4">
      <w:pPr>
        <w:jc w:val="both"/>
        <w:rPr>
          <w:lang w:val="en-GB"/>
        </w:rPr>
      </w:pPr>
    </w:p>
    <w:p w:rsidR="00685FD4" w:rsidRPr="00863772" w:rsidRDefault="00685FD4" w:rsidP="00685FD4">
      <w:pPr>
        <w:pStyle w:val="Caption"/>
        <w:keepNext/>
        <w:spacing w:after="240"/>
        <w:jc w:val="center"/>
        <w:rPr>
          <w:rFonts w:ascii="Arial" w:hAnsi="Arial" w:cs="Arial"/>
          <w:b/>
          <w:i w:val="0"/>
          <w:color w:val="000000" w:themeColor="text1"/>
          <w:sz w:val="20"/>
        </w:rPr>
      </w:pP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Table 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fldChar w:fldCharType="begin"/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instrText xml:space="preserve"> SEQ Table \* ARABIC </w:instrTex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fldChar w:fldCharType="separate"/>
      </w:r>
      <w:r w:rsidR="000173EC">
        <w:rPr>
          <w:rFonts w:ascii="Arial" w:hAnsi="Arial" w:cs="Arial"/>
          <w:b/>
          <w:i w:val="0"/>
          <w:noProof/>
          <w:color w:val="000000" w:themeColor="text1"/>
          <w:sz w:val="20"/>
        </w:rPr>
        <w:t>5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fldChar w:fldCharType="end"/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>: Required Bandwidth to Meet IMT</w:t>
      </w:r>
      <w:r>
        <w:rPr>
          <w:rFonts w:ascii="Arial" w:hAnsi="Arial" w:cs="Arial"/>
          <w:b/>
          <w:i w:val="0"/>
          <w:color w:val="000000" w:themeColor="text1"/>
          <w:sz w:val="20"/>
        </w:rPr>
        <w:t>-2020</w:t>
      </w:r>
      <w:r w:rsidRPr="00863772">
        <w:rPr>
          <w:rFonts w:ascii="Arial" w:hAnsi="Arial" w:cs="Arial"/>
          <w:b/>
          <w:i w:val="0"/>
          <w:color w:val="000000" w:themeColor="text1"/>
          <w:sz w:val="20"/>
        </w:rPr>
        <w:t xml:space="preserve"> Target</w:t>
      </w:r>
      <w:r>
        <w:rPr>
          <w:rFonts w:ascii="Arial" w:hAnsi="Arial" w:cs="Arial"/>
          <w:b/>
          <w:i w:val="0"/>
          <w:color w:val="000000" w:themeColor="text1"/>
          <w:sz w:val="20"/>
        </w:rPr>
        <w:t xml:space="preserve"> Area Traffic Capacity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7"/>
        <w:gridCol w:w="1683"/>
        <w:gridCol w:w="1683"/>
      </w:tblGrid>
      <w:tr w:rsidR="00685FD4" w:rsidRPr="00F110A6" w:rsidTr="00CC1273">
        <w:trPr>
          <w:trHeight w:val="582"/>
          <w:jc w:val="center"/>
        </w:trPr>
        <w:tc>
          <w:tcPr>
            <w:tcW w:w="0" w:type="auto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85FD4" w:rsidRDefault="00685FD4" w:rsidP="000173EC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IMT-2020 Minimum</w:t>
            </w:r>
          </w:p>
          <w:p w:rsidR="00685FD4" w:rsidRPr="00385D8F" w:rsidRDefault="00685FD4" w:rsidP="000173EC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Requirement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85FD4" w:rsidRDefault="00685FD4" w:rsidP="00CC1273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Bandwidth (MHz)</w:t>
            </w:r>
            <w:r w:rsidR="00AE633B">
              <w:rPr>
                <w:rFonts w:ascii="Arial" w:hAnsi="Arial" w:cs="Arial"/>
                <w:b/>
                <w:sz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x-none"/>
              </w:rPr>
              <w:t xml:space="preserve">Required to </w:t>
            </w:r>
            <w:r w:rsidR="00CC1273">
              <w:rPr>
                <w:rFonts w:ascii="Arial" w:hAnsi="Arial" w:cs="Arial"/>
                <w:b/>
                <w:sz w:val="18"/>
                <w:lang w:eastAsia="x-none"/>
              </w:rPr>
              <w:t>Satisfy</w:t>
            </w:r>
          </w:p>
          <w:p w:rsidR="00CC1273" w:rsidRDefault="00CC1273" w:rsidP="00CC1273">
            <w:pPr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Minimum Requirement</w:t>
            </w:r>
          </w:p>
        </w:tc>
      </w:tr>
      <w:tr w:rsidR="00685FD4" w:rsidRPr="00F110A6" w:rsidTr="00AE633B">
        <w:trPr>
          <w:trHeight w:val="47"/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85FD4" w:rsidRDefault="00685FD4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85FD4" w:rsidRPr="009565FF" w:rsidRDefault="00685FD4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9565FF">
              <w:rPr>
                <w:rFonts w:ascii="Arial" w:hAnsi="Arial" w:cs="Arial"/>
                <w:b/>
                <w:lang w:eastAsia="x-none"/>
              </w:rPr>
              <w:t>12 TRxP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685FD4" w:rsidRPr="009565FF" w:rsidRDefault="00685FD4" w:rsidP="000173EC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36</w:t>
            </w:r>
            <w:r w:rsidRPr="009565FF">
              <w:rPr>
                <w:rFonts w:ascii="Arial" w:hAnsi="Arial" w:cs="Arial"/>
                <w:b/>
                <w:lang w:eastAsia="x-none"/>
              </w:rPr>
              <w:t xml:space="preserve"> TRxP</w:t>
            </w:r>
          </w:p>
        </w:tc>
      </w:tr>
      <w:tr w:rsidR="00543F39" w:rsidRPr="00F110A6" w:rsidTr="0090796E">
        <w:trPr>
          <w:trHeight w:val="47"/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3F39" w:rsidRDefault="00543F39" w:rsidP="000173EC">
            <w:pPr>
              <w:jc w:val="center"/>
              <w:rPr>
                <w:color w:val="000000"/>
                <w:sz w:val="24"/>
                <w:szCs w:val="22"/>
              </w:rPr>
            </w:pPr>
            <w:r w:rsidRPr="007132FE">
              <w:rPr>
                <w:sz w:val="22"/>
                <w:lang w:eastAsia="x-none"/>
              </w:rPr>
              <w:t>10 Mbit/sec/m</w:t>
            </w:r>
            <w:r w:rsidRPr="007132FE">
              <w:rPr>
                <w:sz w:val="22"/>
                <w:vertAlign w:val="superscript"/>
                <w:lang w:eastAsia="x-none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3F39" w:rsidRDefault="00543F39" w:rsidP="000173EC">
            <w:pPr>
              <w:jc w:val="center"/>
            </w:pPr>
            <w:r>
              <w:t>641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543F39" w:rsidRDefault="00543F39" w:rsidP="000173EC">
            <w:pPr>
              <w:jc w:val="center"/>
            </w:pPr>
            <w:r>
              <w:t>209</w:t>
            </w:r>
          </w:p>
        </w:tc>
      </w:tr>
    </w:tbl>
    <w:p w:rsidR="00685FD4" w:rsidRDefault="00685FD4" w:rsidP="00685FD4">
      <w:pPr>
        <w:jc w:val="both"/>
        <w:rPr>
          <w:lang w:val="en-GB"/>
        </w:rPr>
      </w:pPr>
    </w:p>
    <w:p w:rsidR="00685FD4" w:rsidRPr="001C09DE" w:rsidRDefault="00685FD4" w:rsidP="00685FD4">
      <w:pPr>
        <w:jc w:val="both"/>
        <w:rPr>
          <w:lang w:val="en-GB"/>
        </w:rPr>
      </w:pPr>
      <w:r>
        <w:rPr>
          <w:lang w:val="en-GB"/>
        </w:rPr>
        <w:t>The following table shows the bandwidth supp</w:t>
      </w:r>
      <w:r w:rsidR="00543F39">
        <w:rPr>
          <w:lang w:val="en-GB"/>
        </w:rPr>
        <w:t>orted by NR in Frequency Range 2</w:t>
      </w:r>
      <w:r>
        <w:rPr>
          <w:lang w:val="en-GB"/>
        </w:rPr>
        <w:t xml:space="preserve"> i.e., for </w:t>
      </w:r>
      <w:r w:rsidR="00E37031">
        <w:rPr>
          <w:lang w:val="en-GB"/>
        </w:rPr>
        <w:t xml:space="preserve">operation with </w:t>
      </w:r>
      <w:r>
        <w:rPr>
          <w:lang w:val="en-GB"/>
        </w:rPr>
        <w:t xml:space="preserve">carrier frequencies </w:t>
      </w:r>
      <w:r w:rsidR="00E37031">
        <w:rPr>
          <w:lang w:val="en-GB"/>
        </w:rPr>
        <w:t>above 24.25</w:t>
      </w:r>
      <w:r>
        <w:rPr>
          <w:lang w:val="en-GB"/>
        </w:rPr>
        <w:t xml:space="preserve"> GHz. </w:t>
      </w:r>
    </w:p>
    <w:p w:rsidR="00685FD4" w:rsidRPr="001C09DE" w:rsidRDefault="00685FD4" w:rsidP="00685FD4">
      <w:pPr>
        <w:pStyle w:val="Caption"/>
        <w:keepNext/>
        <w:spacing w:before="240" w:after="240"/>
        <w:jc w:val="center"/>
        <w:rPr>
          <w:rFonts w:ascii="Arial" w:hAnsi="Arial" w:cs="Arial"/>
          <w:b/>
          <w:i w:val="0"/>
          <w:color w:val="000000" w:themeColor="text1"/>
          <w:sz w:val="20"/>
        </w:rPr>
      </w:pPr>
      <w:r w:rsidRPr="001C09DE">
        <w:rPr>
          <w:rFonts w:ascii="Arial" w:hAnsi="Arial" w:cs="Arial"/>
          <w:b/>
          <w:i w:val="0"/>
          <w:color w:val="000000" w:themeColor="text1"/>
          <w:sz w:val="20"/>
        </w:rPr>
        <w:lastRenderedPageBreak/>
        <w:t xml:space="preserve">Table </w:t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fldChar w:fldCharType="begin"/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instrText xml:space="preserve"> SEQ Table \* ARABIC </w:instrText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fldChar w:fldCharType="separate"/>
      </w:r>
      <w:r w:rsidR="000173EC">
        <w:rPr>
          <w:rFonts w:ascii="Arial" w:hAnsi="Arial" w:cs="Arial"/>
          <w:b/>
          <w:i w:val="0"/>
          <w:noProof/>
          <w:color w:val="000000" w:themeColor="text1"/>
          <w:sz w:val="20"/>
        </w:rPr>
        <w:t>6</w:t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fldChar w:fldCharType="end"/>
      </w:r>
      <w:r w:rsidRPr="001C09DE">
        <w:rPr>
          <w:rFonts w:ascii="Arial" w:hAnsi="Arial" w:cs="Arial"/>
          <w:b/>
          <w:i w:val="0"/>
          <w:color w:val="000000" w:themeColor="text1"/>
          <w:sz w:val="20"/>
        </w:rPr>
        <w:t>: Maximum transmission bandwidth configuration NRB in FR</w:t>
      </w:r>
      <w:r w:rsidR="00543F39">
        <w:rPr>
          <w:rFonts w:ascii="Arial" w:hAnsi="Arial" w:cs="Arial"/>
          <w:b/>
          <w:i w:val="0"/>
          <w:color w:val="000000" w:themeColor="text1"/>
          <w:sz w:val="20"/>
        </w:rPr>
        <w:t>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543F39" w:rsidTr="006039B8">
        <w:trPr>
          <w:jc w:val="center"/>
        </w:trPr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543F39" w:rsidTr="006039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F39" w:rsidRDefault="00543F39" w:rsidP="006039B8">
            <w:pPr>
              <w:rPr>
                <w:rFonts w:ascii="Arial" w:eastAsia="Yu Mincho" w:hAnsi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Default="00543F39" w:rsidP="006039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 w:rsidR="00543F39" w:rsidTr="006039B8">
        <w:trPr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60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66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132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264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N</w:t>
            </w:r>
            <w:r>
              <w:rPr>
                <w:rFonts w:ascii="Times New Roman" w:eastAsia="Yu Mincho" w:hAnsi="Times New Roman"/>
              </w:rPr>
              <w:t>/</w:t>
            </w:r>
            <w:r w:rsidRPr="00C90441">
              <w:rPr>
                <w:rFonts w:ascii="Times New Roman" w:eastAsia="Yu Mincho" w:hAnsi="Times New Roman"/>
              </w:rPr>
              <w:t>A</w:t>
            </w:r>
          </w:p>
        </w:tc>
      </w:tr>
      <w:tr w:rsidR="00543F39" w:rsidTr="006039B8">
        <w:trPr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120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32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66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132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43F39" w:rsidRPr="00C90441" w:rsidRDefault="00543F39" w:rsidP="006039B8">
            <w:pPr>
              <w:pStyle w:val="TAC"/>
              <w:rPr>
                <w:rFonts w:ascii="Times New Roman" w:eastAsia="Yu Mincho" w:hAnsi="Times New Roman"/>
              </w:rPr>
            </w:pPr>
            <w:r w:rsidRPr="00C90441">
              <w:rPr>
                <w:rFonts w:ascii="Times New Roman" w:eastAsia="Yu Mincho" w:hAnsi="Times New Roman"/>
              </w:rPr>
              <w:t>264</w:t>
            </w:r>
          </w:p>
        </w:tc>
      </w:tr>
    </w:tbl>
    <w:p w:rsidR="00685FD4" w:rsidRDefault="00685FD4" w:rsidP="00685FD4">
      <w:pPr>
        <w:rPr>
          <w:rFonts w:ascii="Times" w:eastAsia="Yu Mincho" w:hAnsi="Times"/>
          <w:lang w:val="en-GB"/>
        </w:rPr>
      </w:pPr>
    </w:p>
    <w:p w:rsidR="00685FD4" w:rsidRDefault="00685FD4" w:rsidP="00685FD4">
      <w:pPr>
        <w:jc w:val="both"/>
        <w:rPr>
          <w:lang w:val="en-GB"/>
        </w:rPr>
      </w:pPr>
      <w:r>
        <w:rPr>
          <w:lang w:val="en-GB"/>
        </w:rPr>
        <w:t xml:space="preserve">Therefore from Table </w:t>
      </w:r>
      <w:r w:rsidR="00543F39">
        <w:rPr>
          <w:lang w:val="en-GB"/>
        </w:rPr>
        <w:t>5</w:t>
      </w:r>
      <w:r>
        <w:rPr>
          <w:lang w:val="en-GB"/>
        </w:rPr>
        <w:t xml:space="preserve"> and Table </w:t>
      </w:r>
      <w:r w:rsidR="00543F39">
        <w:rPr>
          <w:lang w:val="en-GB"/>
        </w:rPr>
        <w:t>6</w:t>
      </w:r>
      <w:r>
        <w:rPr>
          <w:lang w:val="en-GB"/>
        </w:rPr>
        <w:t>, we have:</w:t>
      </w:r>
    </w:p>
    <w:p w:rsidR="00685FD4" w:rsidRDefault="00685FD4" w:rsidP="00685FD4">
      <w:pPr>
        <w:pStyle w:val="ListParagraph"/>
        <w:numPr>
          <w:ilvl w:val="0"/>
          <w:numId w:val="18"/>
        </w:numPr>
        <w:spacing w:before="240" w:after="240"/>
        <w:jc w:val="both"/>
        <w:rPr>
          <w:lang w:val="en-GB"/>
        </w:rPr>
      </w:pPr>
      <w:r w:rsidRPr="004123B5">
        <w:rPr>
          <w:b/>
          <w:i/>
          <w:lang w:val="en-GB"/>
        </w:rPr>
        <w:t xml:space="preserve">Indoor Hotspot eMBB 12 TRxP: </w:t>
      </w:r>
      <w:r w:rsidRPr="004123B5">
        <w:rPr>
          <w:lang w:val="en-GB"/>
        </w:rPr>
        <w:t xml:space="preserve">NR requires the aggregation of </w:t>
      </w:r>
      <w:r w:rsidR="00543F39">
        <w:rPr>
          <w:lang w:val="en-GB"/>
        </w:rPr>
        <w:t>3</w:t>
      </w:r>
      <w:r w:rsidRPr="004123B5">
        <w:rPr>
          <w:lang w:val="en-GB"/>
        </w:rPr>
        <w:t xml:space="preserve"> component carriers, </w:t>
      </w:r>
      <w:r w:rsidR="00543F39">
        <w:rPr>
          <w:lang w:val="en-GB"/>
        </w:rPr>
        <w:t xml:space="preserve">one </w:t>
      </w:r>
      <w:r w:rsidRPr="004123B5">
        <w:rPr>
          <w:lang w:val="en-GB"/>
        </w:rPr>
        <w:t>each</w:t>
      </w:r>
      <w:r>
        <w:rPr>
          <w:lang w:val="en-GB"/>
        </w:rPr>
        <w:t xml:space="preserve"> of BW </w:t>
      </w:r>
      <w:r w:rsidR="00543F39">
        <w:rPr>
          <w:lang w:val="en-GB"/>
        </w:rPr>
        <w:t xml:space="preserve">400MHz, 200MHz and </w:t>
      </w:r>
      <w:r>
        <w:rPr>
          <w:lang w:val="en-GB"/>
        </w:rPr>
        <w:t>50</w:t>
      </w:r>
      <w:r w:rsidRPr="004123B5">
        <w:rPr>
          <w:lang w:val="en-GB"/>
        </w:rPr>
        <w:t>MHz</w:t>
      </w:r>
      <w:r w:rsidR="00543F39">
        <w:rPr>
          <w:lang w:val="en-GB"/>
        </w:rPr>
        <w:t xml:space="preserve"> respectively for 120 kHz subcarrier spacing to meet the target area traffic capacity for downlink</w:t>
      </w:r>
      <w:r w:rsidRPr="004123B5">
        <w:rPr>
          <w:lang w:val="en-GB"/>
        </w:rPr>
        <w:t>.</w:t>
      </w:r>
    </w:p>
    <w:p w:rsidR="00685FD4" w:rsidRDefault="00685FD4" w:rsidP="00685FD4">
      <w:pPr>
        <w:pStyle w:val="ListParagraph"/>
        <w:spacing w:before="240" w:after="240"/>
        <w:jc w:val="both"/>
        <w:rPr>
          <w:lang w:val="en-GB"/>
        </w:rPr>
      </w:pPr>
    </w:p>
    <w:p w:rsidR="00685FD4" w:rsidRPr="00543F39" w:rsidRDefault="00685FD4" w:rsidP="00685FD4">
      <w:pPr>
        <w:pStyle w:val="ListParagraph"/>
        <w:numPr>
          <w:ilvl w:val="0"/>
          <w:numId w:val="18"/>
        </w:numPr>
        <w:spacing w:before="240" w:after="240"/>
        <w:jc w:val="both"/>
        <w:rPr>
          <w:lang w:val="en-GB"/>
        </w:rPr>
      </w:pPr>
      <w:r w:rsidRPr="004123B5">
        <w:rPr>
          <w:b/>
          <w:i/>
          <w:lang w:val="en-GB"/>
        </w:rPr>
        <w:t>Indoor Hotspot eMBB</w:t>
      </w:r>
      <w:r>
        <w:rPr>
          <w:b/>
          <w:i/>
          <w:lang w:val="en-GB"/>
        </w:rPr>
        <w:t xml:space="preserve"> 36</w:t>
      </w:r>
      <w:r w:rsidRPr="004123B5">
        <w:rPr>
          <w:b/>
          <w:i/>
          <w:lang w:val="en-GB"/>
        </w:rPr>
        <w:t xml:space="preserve"> TRxP: </w:t>
      </w:r>
      <w:r w:rsidR="00543F39" w:rsidRPr="004123B5">
        <w:rPr>
          <w:lang w:val="en-GB"/>
        </w:rPr>
        <w:t xml:space="preserve">NR requires </w:t>
      </w:r>
      <w:r w:rsidR="00543F39">
        <w:rPr>
          <w:lang w:val="en-GB"/>
        </w:rPr>
        <w:t>a single</w:t>
      </w:r>
      <w:r w:rsidR="00543F39" w:rsidRPr="004123B5">
        <w:rPr>
          <w:lang w:val="en-GB"/>
        </w:rPr>
        <w:t xml:space="preserve"> </w:t>
      </w:r>
      <w:r w:rsidR="00543F39">
        <w:rPr>
          <w:lang w:val="en-GB"/>
        </w:rPr>
        <w:t xml:space="preserve">400MHz component </w:t>
      </w:r>
      <w:r w:rsidR="00543F39" w:rsidRPr="004123B5">
        <w:rPr>
          <w:lang w:val="en-GB"/>
        </w:rPr>
        <w:t>carrier</w:t>
      </w:r>
      <w:r w:rsidR="00543F39">
        <w:rPr>
          <w:lang w:val="en-GB"/>
        </w:rPr>
        <w:t xml:space="preserve"> for 120 kHz subcarrier spacing, to meet the target area traffic capacity for downlink.</w:t>
      </w:r>
    </w:p>
    <w:p w:rsidR="00685FD4" w:rsidRDefault="00685FD4" w:rsidP="00685FD4">
      <w:pPr>
        <w:jc w:val="both"/>
        <w:rPr>
          <w:b/>
          <w:i/>
          <w:lang w:val="en-GB"/>
        </w:rPr>
      </w:pPr>
      <w:r w:rsidRPr="004F5AF5">
        <w:rPr>
          <w:b/>
          <w:i/>
          <w:lang w:val="en-GB"/>
        </w:rPr>
        <w:t>Observation:</w:t>
      </w:r>
    </w:p>
    <w:p w:rsidR="00685FD4" w:rsidRDefault="00685FD4" w:rsidP="00685FD4">
      <w:pPr>
        <w:ind w:left="720"/>
        <w:jc w:val="both"/>
        <w:rPr>
          <w:i/>
          <w:lang w:val="en-GB"/>
        </w:rPr>
      </w:pPr>
      <w:r>
        <w:rPr>
          <w:i/>
          <w:lang w:val="en-GB"/>
        </w:rPr>
        <w:t>NR Indoor Hotspot eMBB can meet the IMT-2020 minimum requirements for area traffic capacity for the case of FR</w:t>
      </w:r>
      <w:r w:rsidR="00543F39">
        <w:rPr>
          <w:i/>
          <w:lang w:val="en-GB"/>
        </w:rPr>
        <w:t>2</w:t>
      </w:r>
      <w:r>
        <w:rPr>
          <w:i/>
          <w:lang w:val="en-GB"/>
        </w:rPr>
        <w:t xml:space="preserve"> in IMT Configuration </w:t>
      </w:r>
      <w:r w:rsidR="00E37031">
        <w:rPr>
          <w:i/>
          <w:lang w:val="en-GB"/>
        </w:rPr>
        <w:t>B</w:t>
      </w:r>
      <w:r>
        <w:rPr>
          <w:i/>
          <w:lang w:val="en-GB"/>
        </w:rPr>
        <w:t xml:space="preserve"> for both 12 and 36 TRxP deployment.</w:t>
      </w:r>
    </w:p>
    <w:p w:rsidR="00685FD4" w:rsidRDefault="00685FD4" w:rsidP="00685FD4">
      <w:pPr>
        <w:jc w:val="both"/>
        <w:rPr>
          <w:i/>
          <w:lang w:val="en-GB"/>
        </w:rPr>
      </w:pPr>
    </w:p>
    <w:p w:rsidR="00685FD4" w:rsidRDefault="00685FD4" w:rsidP="009D15C5">
      <w:pPr>
        <w:ind w:left="720"/>
        <w:jc w:val="both"/>
        <w:rPr>
          <w:i/>
          <w:lang w:val="en-GB"/>
        </w:rPr>
      </w:pPr>
    </w:p>
    <w:p w:rsidR="009D15C5" w:rsidRPr="0044590C" w:rsidRDefault="009D15C5" w:rsidP="009D15C5">
      <w:pPr>
        <w:pStyle w:val="Heading1"/>
        <w:rPr>
          <w:lang w:val="en-US"/>
        </w:rPr>
      </w:pPr>
      <w:r>
        <w:t xml:space="preserve">Conclusions  </w:t>
      </w:r>
    </w:p>
    <w:p w:rsidR="009D15C5" w:rsidRDefault="009D15C5" w:rsidP="00A7246C">
      <w:pPr>
        <w:spacing w:before="240"/>
        <w:jc w:val="both"/>
        <w:rPr>
          <w:lang w:val="en-GB" w:eastAsia="x-none"/>
        </w:rPr>
      </w:pPr>
      <w:r>
        <w:rPr>
          <w:lang w:val="en-GB" w:eastAsia="x-none"/>
        </w:rPr>
        <w:t xml:space="preserve">In this paper, we have evaluated the </w:t>
      </w:r>
      <w:r w:rsidR="00A7246C">
        <w:rPr>
          <w:lang w:val="en-GB" w:eastAsia="x-none"/>
        </w:rPr>
        <w:t>analytical metric of area traffic capacity for</w:t>
      </w:r>
      <w:r>
        <w:rPr>
          <w:lang w:val="en-GB" w:eastAsia="x-none"/>
        </w:rPr>
        <w:t xml:space="preserve"> NR</w:t>
      </w:r>
      <w:r w:rsidR="00A7246C">
        <w:rPr>
          <w:lang w:val="en-GB" w:eastAsia="x-none"/>
        </w:rPr>
        <w:t xml:space="preserve"> Indoor Hotspot eMBB in FR1 and FR2 in the downlink</w:t>
      </w:r>
      <w:r>
        <w:rPr>
          <w:lang w:val="en-GB" w:eastAsia="x-none"/>
        </w:rPr>
        <w:t>. It was shown that</w:t>
      </w:r>
      <w:r w:rsidR="00A7246C">
        <w:rPr>
          <w:lang w:val="en-GB" w:eastAsia="x-none"/>
        </w:rPr>
        <w:t xml:space="preserve"> using carrier aggregation, NR is</w:t>
      </w:r>
      <w:r>
        <w:rPr>
          <w:lang w:val="en-GB" w:eastAsia="x-none"/>
        </w:rPr>
        <w:t xml:space="preserve"> easily</w:t>
      </w:r>
      <w:r w:rsidR="00A7246C">
        <w:rPr>
          <w:lang w:val="en-GB" w:eastAsia="x-none"/>
        </w:rPr>
        <w:t xml:space="preserve"> able to</w:t>
      </w:r>
      <w:r>
        <w:rPr>
          <w:lang w:val="en-GB" w:eastAsia="x-none"/>
        </w:rPr>
        <w:t xml:space="preserve"> meet the </w:t>
      </w:r>
      <w:r w:rsidR="00A7246C">
        <w:rPr>
          <w:lang w:val="en-GB" w:eastAsia="x-none"/>
        </w:rPr>
        <w:t xml:space="preserve">downlink area traffic capacity targets in both FR1 and FR2. </w:t>
      </w:r>
    </w:p>
    <w:p w:rsidR="009D15C5" w:rsidRPr="00C83592" w:rsidRDefault="009D15C5" w:rsidP="009D15C5">
      <w:pPr>
        <w:jc w:val="both"/>
        <w:rPr>
          <w:i/>
          <w:lang w:eastAsia="x-none"/>
        </w:rPr>
      </w:pPr>
      <w:r w:rsidRPr="00C83592">
        <w:rPr>
          <w:i/>
          <w:lang w:eastAsia="x-none"/>
        </w:rPr>
        <w:t>.</w:t>
      </w:r>
    </w:p>
    <w:p w:rsidR="009D15C5" w:rsidRPr="0011633D" w:rsidRDefault="009D15C5" w:rsidP="009D15C5">
      <w:pPr>
        <w:pStyle w:val="ListParagraph"/>
        <w:keepNext/>
        <w:widowControl w:val="0"/>
        <w:numPr>
          <w:ilvl w:val="0"/>
          <w:numId w:val="1"/>
        </w:numPr>
        <w:spacing w:before="240" w:after="60"/>
        <w:outlineLvl w:val="1"/>
        <w:rPr>
          <w:rFonts w:ascii="Arial" w:eastAsia="Batang" w:hAnsi="Arial"/>
          <w:bCs/>
          <w:iCs/>
          <w:vanish/>
          <w:sz w:val="24"/>
          <w:szCs w:val="28"/>
          <w:lang w:val="en-GB" w:eastAsia="x-none"/>
        </w:rPr>
      </w:pPr>
    </w:p>
    <w:p w:rsidR="009D15C5" w:rsidRPr="00A173C6" w:rsidRDefault="009D15C5" w:rsidP="009D15C5">
      <w:pPr>
        <w:pStyle w:val="Heading1"/>
      </w:pPr>
      <w:r w:rsidRPr="00AD20CC">
        <w:t>References</w:t>
      </w:r>
    </w:p>
    <w:p w:rsidR="009D15C5" w:rsidRPr="00954AE6" w:rsidRDefault="009D15C5" w:rsidP="009D15C5">
      <w:pPr>
        <w:rPr>
          <w:lang w:eastAsia="x-none"/>
        </w:rPr>
      </w:pPr>
    </w:p>
    <w:p w:rsidR="009D15C5" w:rsidRPr="00605E38" w:rsidRDefault="009D15C5" w:rsidP="009D15C5">
      <w:pPr>
        <w:pStyle w:val="ListParagraph"/>
        <w:numPr>
          <w:ilvl w:val="0"/>
          <w:numId w:val="5"/>
        </w:numPr>
        <w:contextualSpacing w:val="0"/>
        <w:jc w:val="both"/>
        <w:rPr>
          <w:i/>
        </w:rPr>
      </w:pPr>
      <w:r>
        <w:t xml:space="preserve">RP-170832, </w:t>
      </w:r>
      <w:r>
        <w:rPr>
          <w:i/>
        </w:rPr>
        <w:t xml:space="preserve">New Study Item on Self-Evaluation towards IMT-2020, </w:t>
      </w:r>
      <w:r>
        <w:t>Huawei, Ericsson, 3GPP TSG RAN Meeting #75, Dubrovnik, Croatia, March 6-9, 2017.</w:t>
      </w:r>
    </w:p>
    <w:p w:rsidR="009D15C5" w:rsidRDefault="009D15C5" w:rsidP="009D15C5">
      <w:pPr>
        <w:pStyle w:val="ListParagraph"/>
        <w:numPr>
          <w:ilvl w:val="0"/>
          <w:numId w:val="5"/>
        </w:numPr>
        <w:contextualSpacing w:val="0"/>
        <w:jc w:val="both"/>
        <w:rPr>
          <w:i/>
        </w:rPr>
      </w:pPr>
      <w:bookmarkStart w:id="2" w:name="_Ref520883657"/>
      <w:r>
        <w:t>ITU-R M.2410-0,</w:t>
      </w:r>
      <w:r w:rsidRPr="00605E38">
        <w:rPr>
          <w:i/>
        </w:rPr>
        <w:t xml:space="preserve"> Minimum requirements related to technical performance for IMT-2020 radio interface(s)</w:t>
      </w:r>
      <w:bookmarkEnd w:id="2"/>
    </w:p>
    <w:p w:rsidR="009D15C5" w:rsidRDefault="009D15C5" w:rsidP="009D15C5">
      <w:pPr>
        <w:pStyle w:val="ListParagraph"/>
        <w:numPr>
          <w:ilvl w:val="0"/>
          <w:numId w:val="5"/>
        </w:numPr>
        <w:contextualSpacing w:val="0"/>
        <w:jc w:val="both"/>
        <w:rPr>
          <w:i/>
        </w:rPr>
      </w:pPr>
      <w:bookmarkStart w:id="3" w:name="_Ref521659385"/>
      <w:r>
        <w:t xml:space="preserve">ITU-R M.2412-0, </w:t>
      </w:r>
      <w:r w:rsidRPr="00605E38">
        <w:rPr>
          <w:i/>
        </w:rPr>
        <w:t>Guidelines for evaluation of radio interface technologies for IMT-2020</w:t>
      </w:r>
      <w:bookmarkEnd w:id="3"/>
    </w:p>
    <w:p w:rsidR="009D15C5" w:rsidRDefault="009D15C5" w:rsidP="009D15C5">
      <w:pPr>
        <w:pStyle w:val="ListParagraph"/>
        <w:numPr>
          <w:ilvl w:val="0"/>
          <w:numId w:val="5"/>
        </w:numPr>
        <w:contextualSpacing w:val="0"/>
        <w:jc w:val="both"/>
        <w:rPr>
          <w:i/>
        </w:rPr>
      </w:pPr>
      <w:r>
        <w:t xml:space="preserve">ITU-R M.2134, </w:t>
      </w:r>
      <w:r w:rsidRPr="00EC08BC">
        <w:rPr>
          <w:i/>
        </w:rPr>
        <w:t>Requirements related to technical performance for IMT-Advanced radio interface(s)</w:t>
      </w:r>
    </w:p>
    <w:p w:rsidR="009D15C5" w:rsidRPr="00283250" w:rsidRDefault="009D15C5" w:rsidP="009D15C5">
      <w:pPr>
        <w:pStyle w:val="ListParagraph"/>
        <w:numPr>
          <w:ilvl w:val="0"/>
          <w:numId w:val="5"/>
        </w:numPr>
        <w:contextualSpacing w:val="0"/>
        <w:jc w:val="both"/>
      </w:pPr>
      <w:bookmarkStart w:id="4" w:name="_Ref521659291"/>
      <w:r>
        <w:t xml:space="preserve">3GPP TS 38.101-1 v15.1.0, </w:t>
      </w:r>
      <w:r w:rsidRPr="00283250">
        <w:rPr>
          <w:i/>
        </w:rPr>
        <w:t>User Equipment radio transmission and reception: Part 1: Range 1 Standalone.</w:t>
      </w:r>
      <w:bookmarkEnd w:id="4"/>
    </w:p>
    <w:p w:rsidR="009D15C5" w:rsidRPr="00BB3840" w:rsidRDefault="009D15C5" w:rsidP="009D15C5">
      <w:pPr>
        <w:pStyle w:val="ListParagraph"/>
        <w:numPr>
          <w:ilvl w:val="0"/>
          <w:numId w:val="5"/>
        </w:numPr>
        <w:contextualSpacing w:val="0"/>
      </w:pPr>
      <w:bookmarkStart w:id="5" w:name="_Ref521659295"/>
      <w:r>
        <w:t xml:space="preserve">3GPP TS 38.101-2 v15.1.0, </w:t>
      </w:r>
      <w:r w:rsidRPr="00283250">
        <w:rPr>
          <w:i/>
        </w:rPr>
        <w:t xml:space="preserve">User Equipment radio transmission and reception: Part </w:t>
      </w:r>
      <w:r>
        <w:rPr>
          <w:i/>
        </w:rPr>
        <w:t>2</w:t>
      </w:r>
      <w:r w:rsidRPr="00283250">
        <w:rPr>
          <w:i/>
        </w:rPr>
        <w:t xml:space="preserve">: Range </w:t>
      </w:r>
      <w:r>
        <w:rPr>
          <w:i/>
        </w:rPr>
        <w:t>2</w:t>
      </w:r>
      <w:r w:rsidRPr="00283250">
        <w:rPr>
          <w:i/>
        </w:rPr>
        <w:t xml:space="preserve"> Standalone.</w:t>
      </w:r>
      <w:bookmarkEnd w:id="5"/>
    </w:p>
    <w:p w:rsidR="009D15C5" w:rsidRPr="004332F5" w:rsidRDefault="009D15C5" w:rsidP="009D15C5">
      <w:pPr>
        <w:pStyle w:val="ListParagraph"/>
        <w:numPr>
          <w:ilvl w:val="0"/>
          <w:numId w:val="5"/>
        </w:numPr>
        <w:contextualSpacing w:val="0"/>
      </w:pPr>
      <w:bookmarkStart w:id="6" w:name="_Ref520884239"/>
      <w:r>
        <w:t xml:space="preserve">3GPP TS 38.306 v15.1.0, </w:t>
      </w:r>
      <w:r w:rsidRPr="00283250">
        <w:rPr>
          <w:i/>
        </w:rPr>
        <w:t xml:space="preserve">User Equipment </w:t>
      </w:r>
      <w:r>
        <w:rPr>
          <w:i/>
        </w:rPr>
        <w:t>(UE) R</w:t>
      </w:r>
      <w:r w:rsidRPr="00283250">
        <w:rPr>
          <w:i/>
        </w:rPr>
        <w:t xml:space="preserve">adio </w:t>
      </w:r>
      <w:r>
        <w:rPr>
          <w:i/>
        </w:rPr>
        <w:t>Access Capabilities.</w:t>
      </w:r>
      <w:bookmarkEnd w:id="6"/>
    </w:p>
    <w:p w:rsidR="009D15C5" w:rsidRPr="00DA4168" w:rsidRDefault="009D15C5" w:rsidP="009D15C5">
      <w:pPr>
        <w:pStyle w:val="ListParagraph"/>
        <w:numPr>
          <w:ilvl w:val="0"/>
          <w:numId w:val="5"/>
        </w:numPr>
        <w:jc w:val="both"/>
        <w:rPr>
          <w:i/>
        </w:rPr>
      </w:pPr>
      <w:bookmarkStart w:id="7" w:name="_Ref520887808"/>
      <w:r>
        <w:t xml:space="preserve">3GPP TS 38.214 v15.1.0, </w:t>
      </w:r>
      <w:r w:rsidRPr="00283BAA">
        <w:rPr>
          <w:i/>
        </w:rPr>
        <w:t xml:space="preserve">NR </w:t>
      </w:r>
      <w:r>
        <w:rPr>
          <w:i/>
        </w:rPr>
        <w:t>Physical Layer Procedures for Data (Release 15)</w:t>
      </w:r>
      <w:bookmarkEnd w:id="7"/>
    </w:p>
    <w:p w:rsidR="009D15C5" w:rsidRPr="00B06AA5" w:rsidRDefault="009D15C5" w:rsidP="009D15C5">
      <w:pPr>
        <w:pStyle w:val="ListParagraph"/>
        <w:numPr>
          <w:ilvl w:val="0"/>
          <w:numId w:val="5"/>
        </w:numPr>
        <w:jc w:val="both"/>
        <w:rPr>
          <w:i/>
        </w:rPr>
      </w:pPr>
      <w:bookmarkStart w:id="8" w:name="_Ref520884493"/>
      <w:r>
        <w:t xml:space="preserve">3GPP TS 38.211 v15.1.0, </w:t>
      </w:r>
      <w:r w:rsidRPr="00283BAA">
        <w:rPr>
          <w:i/>
        </w:rPr>
        <w:t xml:space="preserve">NR </w:t>
      </w:r>
      <w:r>
        <w:rPr>
          <w:i/>
        </w:rPr>
        <w:t>Physical Channels and Modulation (Release 15)</w:t>
      </w:r>
      <w:bookmarkEnd w:id="8"/>
    </w:p>
    <w:p w:rsidR="009D15C5" w:rsidRDefault="009D15C5" w:rsidP="009D15C5">
      <w:pPr>
        <w:pStyle w:val="ListParagraph"/>
        <w:numPr>
          <w:ilvl w:val="0"/>
          <w:numId w:val="5"/>
        </w:numPr>
        <w:jc w:val="both"/>
        <w:rPr>
          <w:szCs w:val="20"/>
        </w:rPr>
      </w:pPr>
      <w:r w:rsidRPr="0002053B">
        <w:rPr>
          <w:szCs w:val="20"/>
        </w:rPr>
        <w:t xml:space="preserve">RT-170019, </w:t>
      </w:r>
      <w:r w:rsidRPr="0002053B">
        <w:rPr>
          <w:i/>
          <w:szCs w:val="20"/>
        </w:rPr>
        <w:t xml:space="preserve">Summary of email discussion “[ITU-R AH 01] Calibration for self-evaluation, </w:t>
      </w:r>
      <w:r w:rsidRPr="0002053B">
        <w:rPr>
          <w:szCs w:val="20"/>
        </w:rPr>
        <w:t xml:space="preserve">Huawei, 3GPP TSG RAN ITU-R Ad Hoc. </w:t>
      </w:r>
    </w:p>
    <w:p w:rsidR="009D15C5" w:rsidRPr="0002053B" w:rsidRDefault="009D15C5" w:rsidP="009D15C5">
      <w:pPr>
        <w:pStyle w:val="ListParagraph"/>
        <w:numPr>
          <w:ilvl w:val="0"/>
          <w:numId w:val="5"/>
        </w:numPr>
        <w:jc w:val="both"/>
        <w:rPr>
          <w:szCs w:val="20"/>
        </w:rPr>
      </w:pPr>
      <w:bookmarkStart w:id="9" w:name="_Ref521611644"/>
      <w:r>
        <w:rPr>
          <w:szCs w:val="20"/>
        </w:rPr>
        <w:t xml:space="preserve">R1-1808710, </w:t>
      </w:r>
      <w:r>
        <w:rPr>
          <w:i/>
          <w:szCs w:val="20"/>
        </w:rPr>
        <w:t xml:space="preserve">Spectral Efficiency Evaluation for NR eMBB, </w:t>
      </w:r>
      <w:r>
        <w:rPr>
          <w:szCs w:val="20"/>
        </w:rPr>
        <w:t>Intel Corporation, 3GPP RAN WG1 #94, Gothenburg, Sweden, 20-25 August 2018.</w:t>
      </w:r>
      <w:bookmarkEnd w:id="9"/>
    </w:p>
    <w:p w:rsidR="009D15C5" w:rsidRPr="003663BD" w:rsidRDefault="009D15C5" w:rsidP="009D15C5">
      <w:pPr>
        <w:ind w:left="360"/>
        <w:jc w:val="both"/>
        <w:rPr>
          <w:szCs w:val="20"/>
        </w:rPr>
      </w:pPr>
    </w:p>
    <w:p w:rsidR="009D15C5" w:rsidRPr="00B362D0" w:rsidRDefault="009D15C5" w:rsidP="009D15C5"/>
    <w:p w:rsidR="00B362D0" w:rsidRPr="009D15C5" w:rsidRDefault="00B362D0" w:rsidP="009D15C5"/>
    <w:sectPr w:rsidR="00B362D0" w:rsidRPr="009D15C5" w:rsidSect="00BB3840">
      <w:pgSz w:w="12240" w:h="15840"/>
      <w:pgMar w:top="1267" w:right="1166" w:bottom="1440" w:left="1166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169" w:rsidRDefault="00483169" w:rsidP="009D15C5">
      <w:r>
        <w:separator/>
      </w:r>
    </w:p>
  </w:endnote>
  <w:endnote w:type="continuationSeparator" w:id="0">
    <w:p w:rsidR="00483169" w:rsidRDefault="00483169" w:rsidP="009D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169" w:rsidRDefault="00483169" w:rsidP="009D15C5">
      <w:r>
        <w:separator/>
      </w:r>
    </w:p>
  </w:footnote>
  <w:footnote w:type="continuationSeparator" w:id="0">
    <w:p w:rsidR="00483169" w:rsidRDefault="00483169" w:rsidP="009D15C5">
      <w:r>
        <w:continuationSeparator/>
      </w:r>
    </w:p>
  </w:footnote>
  <w:footnote w:id="1">
    <w:p w:rsidR="000173EC" w:rsidRDefault="000173EC" w:rsidP="009D15C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97FD1">
        <w:rPr>
          <w:sz w:val="18"/>
        </w:rPr>
        <w:t xml:space="preserve">For detailed system level evaluation assumptions and results, interested readers are referred to our companion contribution </w:t>
      </w:r>
      <w:r w:rsidRPr="00597FD1">
        <w:rPr>
          <w:sz w:val="18"/>
        </w:rPr>
        <w:fldChar w:fldCharType="begin"/>
      </w:r>
      <w:r w:rsidRPr="00597FD1">
        <w:rPr>
          <w:sz w:val="18"/>
        </w:rPr>
        <w:instrText xml:space="preserve"> REF _Ref521611644 \r \h </w:instrText>
      </w:r>
      <w:r>
        <w:rPr>
          <w:sz w:val="18"/>
        </w:rPr>
        <w:instrText xml:space="preserve"> \* MERGEFORMAT </w:instrText>
      </w:r>
      <w:r w:rsidRPr="00597FD1">
        <w:rPr>
          <w:sz w:val="18"/>
        </w:rPr>
      </w:r>
      <w:r w:rsidRPr="00597FD1">
        <w:rPr>
          <w:sz w:val="18"/>
        </w:rPr>
        <w:fldChar w:fldCharType="separate"/>
      </w:r>
      <w:r w:rsidRPr="00597FD1">
        <w:rPr>
          <w:sz w:val="18"/>
        </w:rPr>
        <w:t>[11]</w:t>
      </w:r>
      <w:r w:rsidRPr="00597FD1">
        <w:rPr>
          <w:sz w:val="18"/>
        </w:rPr>
        <w:fldChar w:fldCharType="end"/>
      </w:r>
      <w:r>
        <w:rPr>
          <w:sz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2763"/>
    <w:multiLevelType w:val="hybridMultilevel"/>
    <w:tmpl w:val="C2ACE582"/>
    <w:lvl w:ilvl="0" w:tplc="7068B4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B5AC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D1D18EF"/>
    <w:multiLevelType w:val="hybridMultilevel"/>
    <w:tmpl w:val="6660D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2596"/>
    <w:multiLevelType w:val="hybridMultilevel"/>
    <w:tmpl w:val="4AF06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40E3A"/>
    <w:multiLevelType w:val="hybridMultilevel"/>
    <w:tmpl w:val="3DB22836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5" w15:restartNumberingAfterBreak="0">
    <w:nsid w:val="31F076D8"/>
    <w:multiLevelType w:val="multilevel"/>
    <w:tmpl w:val="FBD493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pStyle w:val="Style1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2175C33"/>
    <w:multiLevelType w:val="multilevel"/>
    <w:tmpl w:val="BB7E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68B0EC4"/>
    <w:multiLevelType w:val="hybridMultilevel"/>
    <w:tmpl w:val="D5C474B6"/>
    <w:lvl w:ilvl="0" w:tplc="02200334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C5DA9"/>
    <w:multiLevelType w:val="hybridMultilevel"/>
    <w:tmpl w:val="AF46A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6B77D6"/>
    <w:multiLevelType w:val="hybridMultilevel"/>
    <w:tmpl w:val="355EDD1A"/>
    <w:lvl w:ilvl="0" w:tplc="43B00BEC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A19DF"/>
    <w:multiLevelType w:val="hybridMultilevel"/>
    <w:tmpl w:val="4252A43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F6BE5"/>
    <w:multiLevelType w:val="multilevel"/>
    <w:tmpl w:val="FB0E08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94573B2"/>
    <w:multiLevelType w:val="hybridMultilevel"/>
    <w:tmpl w:val="504CDB26"/>
    <w:lvl w:ilvl="0" w:tplc="BCFA5DA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C10FB"/>
    <w:multiLevelType w:val="hybridMultilevel"/>
    <w:tmpl w:val="9DC88D22"/>
    <w:lvl w:ilvl="0" w:tplc="ECA2B84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04240"/>
    <w:multiLevelType w:val="hybridMultilevel"/>
    <w:tmpl w:val="BE5E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8"/>
  </w:num>
  <w:num w:numId="8">
    <w:abstractNumId w:val="7"/>
  </w:num>
  <w:num w:numId="9">
    <w:abstractNumId w:val="0"/>
  </w:num>
  <w:num w:numId="10">
    <w:abstractNumId w:val="12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13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2"/>
    <w:rsid w:val="00003AA9"/>
    <w:rsid w:val="000173EC"/>
    <w:rsid w:val="000A131E"/>
    <w:rsid w:val="000A223F"/>
    <w:rsid w:val="000A59C5"/>
    <w:rsid w:val="000A6E79"/>
    <w:rsid w:val="000B6A82"/>
    <w:rsid w:val="000E15FB"/>
    <w:rsid w:val="000F078B"/>
    <w:rsid w:val="00104B89"/>
    <w:rsid w:val="0011633D"/>
    <w:rsid w:val="00265C80"/>
    <w:rsid w:val="003211D9"/>
    <w:rsid w:val="00321539"/>
    <w:rsid w:val="003619DA"/>
    <w:rsid w:val="003930DD"/>
    <w:rsid w:val="004123B5"/>
    <w:rsid w:val="004332F5"/>
    <w:rsid w:val="0044590C"/>
    <w:rsid w:val="00483169"/>
    <w:rsid w:val="00543F39"/>
    <w:rsid w:val="00562155"/>
    <w:rsid w:val="005A7A9F"/>
    <w:rsid w:val="00685876"/>
    <w:rsid w:val="00685FD4"/>
    <w:rsid w:val="006E7285"/>
    <w:rsid w:val="007132FE"/>
    <w:rsid w:val="00737088"/>
    <w:rsid w:val="00737C6F"/>
    <w:rsid w:val="00791335"/>
    <w:rsid w:val="007A2008"/>
    <w:rsid w:val="007C60B2"/>
    <w:rsid w:val="007E6757"/>
    <w:rsid w:val="00832135"/>
    <w:rsid w:val="008558A6"/>
    <w:rsid w:val="0087563B"/>
    <w:rsid w:val="00877F98"/>
    <w:rsid w:val="008908F6"/>
    <w:rsid w:val="00951EFF"/>
    <w:rsid w:val="009A730D"/>
    <w:rsid w:val="009D15C5"/>
    <w:rsid w:val="00A173C6"/>
    <w:rsid w:val="00A7246C"/>
    <w:rsid w:val="00A868BF"/>
    <w:rsid w:val="00AD1AC9"/>
    <w:rsid w:val="00AD20CC"/>
    <w:rsid w:val="00AE633B"/>
    <w:rsid w:val="00B362D0"/>
    <w:rsid w:val="00BB3840"/>
    <w:rsid w:val="00BB388E"/>
    <w:rsid w:val="00BF4321"/>
    <w:rsid w:val="00C062B9"/>
    <w:rsid w:val="00C122DB"/>
    <w:rsid w:val="00C764C5"/>
    <w:rsid w:val="00C81C88"/>
    <w:rsid w:val="00C83592"/>
    <w:rsid w:val="00CC1273"/>
    <w:rsid w:val="00CC6619"/>
    <w:rsid w:val="00D26517"/>
    <w:rsid w:val="00D82909"/>
    <w:rsid w:val="00D86DD5"/>
    <w:rsid w:val="00E37031"/>
    <w:rsid w:val="00E6329E"/>
    <w:rsid w:val="00E74DF4"/>
    <w:rsid w:val="00EB1502"/>
    <w:rsid w:val="00EB4816"/>
    <w:rsid w:val="00EC3412"/>
    <w:rsid w:val="00F340B0"/>
    <w:rsid w:val="00F36A7F"/>
    <w:rsid w:val="00F72501"/>
    <w:rsid w:val="00F909D5"/>
    <w:rsid w:val="00FE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1D6FBDC4-F4A3-459E-BBCC-A553205C9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CC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A730D"/>
    <w:pPr>
      <w:keepNext/>
      <w:numPr>
        <w:numId w:val="16"/>
      </w:numPr>
      <w:pBdr>
        <w:top w:val="single" w:sz="8" w:space="5" w:color="auto"/>
      </w:pBdr>
      <w:spacing w:before="240" w:after="60"/>
      <w:ind w:left="0" w:firstLine="0"/>
      <w:outlineLvl w:val="0"/>
    </w:pPr>
    <w:rPr>
      <w:rFonts w:ascii="Arial" w:eastAsiaTheme="majorEastAsia" w:hAnsi="Arial" w:cs="Arial"/>
      <w:bCs/>
      <w:kern w:val="32"/>
      <w:sz w:val="28"/>
      <w:szCs w:val="32"/>
      <w:lang w:val="en-GB"/>
    </w:rPr>
  </w:style>
  <w:style w:type="paragraph" w:styleId="Heading2">
    <w:name w:val="heading 2"/>
    <w:basedOn w:val="Style1"/>
    <w:next w:val="Normal"/>
    <w:link w:val="Heading2Char"/>
    <w:uiPriority w:val="9"/>
    <w:unhideWhenUsed/>
    <w:qFormat/>
    <w:rsid w:val="0011633D"/>
    <w:pPr>
      <w:numPr>
        <w:numId w:val="10"/>
      </w:numPr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868BF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A868BF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62D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62D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62D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62D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62D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730D"/>
    <w:rPr>
      <w:rFonts w:ascii="Arial" w:eastAsiaTheme="majorEastAsia" w:hAnsi="Arial" w:cs="Arial"/>
      <w:bCs/>
      <w:kern w:val="32"/>
      <w:sz w:val="28"/>
      <w:szCs w:val="32"/>
      <w:lang w:val="en-GB"/>
    </w:rPr>
  </w:style>
  <w:style w:type="paragraph" w:customStyle="1" w:styleId="Style1">
    <w:name w:val="Style1"/>
    <w:basedOn w:val="ListParagraph"/>
    <w:next w:val="Heading3"/>
    <w:rsid w:val="00AD20CC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Batang" w:hAnsi="Arial"/>
      <w:bCs/>
      <w:iCs/>
      <w:sz w:val="24"/>
      <w:szCs w:val="28"/>
      <w:lang w:val="en-GB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B362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868BF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11633D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68BF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62D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62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62D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62D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6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AD2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AD20CC"/>
    <w:pPr>
      <w:numPr>
        <w:numId w:val="4"/>
      </w:numPr>
    </w:pPr>
  </w:style>
  <w:style w:type="character" w:customStyle="1" w:styleId="ListParagraphChar">
    <w:name w:val="List Paragraph Char"/>
    <w:link w:val="ListParagraph"/>
    <w:uiPriority w:val="34"/>
    <w:rsid w:val="00AD20CC"/>
    <w:rPr>
      <w:rFonts w:ascii="Times New Roman" w:eastAsiaTheme="minorEastAsia" w:hAnsi="Times New Roman" w:cs="Times New Roman"/>
      <w:sz w:val="20"/>
      <w:szCs w:val="24"/>
    </w:rPr>
  </w:style>
  <w:style w:type="character" w:customStyle="1" w:styleId="TACChar">
    <w:name w:val="TAC Char"/>
    <w:link w:val="TAC"/>
    <w:locked/>
    <w:rsid w:val="00BB388E"/>
    <w:rPr>
      <w:rFonts w:ascii="SimSun" w:eastAsia="SimSun" w:hAnsi="SimSun"/>
      <w:lang w:val="en-GB" w:eastAsia="x-none"/>
    </w:rPr>
  </w:style>
  <w:style w:type="paragraph" w:customStyle="1" w:styleId="TAC">
    <w:name w:val="TAC"/>
    <w:basedOn w:val="Normal"/>
    <w:link w:val="TACChar"/>
    <w:rsid w:val="00BB388E"/>
    <w:pPr>
      <w:keepLines/>
      <w:spacing w:before="40" w:after="40"/>
      <w:jc w:val="center"/>
    </w:pPr>
    <w:rPr>
      <w:rFonts w:ascii="SimSun" w:eastAsia="SimSun" w:hAnsi="SimSun" w:cstheme="minorBidi"/>
      <w:sz w:val="22"/>
      <w:szCs w:val="22"/>
      <w:lang w:val="en-GB" w:eastAsia="x-none"/>
    </w:rPr>
  </w:style>
  <w:style w:type="character" w:customStyle="1" w:styleId="TAHCar">
    <w:name w:val="TAH Car"/>
    <w:link w:val="TAH"/>
    <w:locked/>
    <w:rsid w:val="00BB388E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rsid w:val="00BB388E"/>
    <w:pPr>
      <w:keepNext/>
      <w:overflowPunct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/>
      <w:sz w:val="18"/>
      <w:lang w:eastAsia="en-GB"/>
    </w:rPr>
  </w:style>
  <w:style w:type="character" w:customStyle="1" w:styleId="THChar">
    <w:name w:val="TH Char"/>
    <w:link w:val="TH"/>
    <w:locked/>
    <w:rsid w:val="00BB388E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BB388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sz w:val="22"/>
      <w:szCs w:val="22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0A223F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51EFF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A868BF"/>
    <w:pPr>
      <w:tabs>
        <w:tab w:val="center" w:pos="4960"/>
        <w:tab w:val="right" w:pos="99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A868BF"/>
    <w:rPr>
      <w:rFonts w:ascii="Times New Roman" w:eastAsiaTheme="minorEastAsia" w:hAnsi="Times New Roman" w:cs="Times New Roman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15C5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5C5"/>
    <w:rPr>
      <w:rFonts w:ascii="Times New Roman" w:eastAsiaTheme="minorEastAsia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15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34" Type="http://schemas.openxmlformats.org/officeDocument/2006/relationships/oleObject" Target="embeddings/oleObject12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Microsoft_Visio_2003-2010_Drawing1.vsd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373D-49AB-43D4-A689-7B5B41B1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4</Pages>
  <Words>1538</Words>
  <Characters>7819</Characters>
  <Application>Microsoft Office Word</Application>
  <DocSecurity>0</DocSecurity>
  <Lines>312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Sengupta, Avik</dc:creator>
  <cp:keywords>CTPClassification=CTP_NT</cp:keywords>
  <dc:description/>
  <cp:lastModifiedBy>Sengupta, Avik</cp:lastModifiedBy>
  <cp:revision>17</cp:revision>
  <dcterms:created xsi:type="dcterms:W3CDTF">2018-08-02T01:30:00Z</dcterms:created>
  <dcterms:modified xsi:type="dcterms:W3CDTF">2018-08-10T17:47:00Z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8d69ca3e-10dd-4756-aa50-b3f487831536</vt:lpwstr>
  </property>
  <property fmtid="{D5CDD505-2E9C-101B-9397-08002B2CF9AE}" pid="3" name="CTP_TimeStamp">
    <vt:lpwstr>2018-08-10 17:47:49Z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MTWinEqns">
    <vt:bool>true</vt:bool>
  </property>
  <property fmtid="{D5CDD505-2E9C-101B-9397-08002B2CF9AE}" pid="8" name="CTPClassification">
    <vt:lpwstr>CTP_NT</vt:lpwstr>
  </property>
</Properties>
</file>